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444" w:rsidRPr="00EF10FB" w:rsidRDefault="00D05444" w:rsidP="00D30C32">
      <w:pPr>
        <w:spacing w:after="0" w:line="360" w:lineRule="auto"/>
        <w:jc w:val="both"/>
        <w:rPr>
          <w:rFonts w:ascii="Palatino Linotype" w:hAnsi="Palatino Linotype" w:cs="Tahoma"/>
          <w:b/>
        </w:rPr>
      </w:pPr>
      <w:r w:rsidRPr="00EF10FB">
        <w:rPr>
          <w:rFonts w:ascii="Palatino Linotype" w:hAnsi="Palatino Linotype" w:cs="Tahoma"/>
          <w:b/>
        </w:rPr>
        <w:t xml:space="preserve">VOTO </w:t>
      </w:r>
      <w:r w:rsidR="00596EE6">
        <w:rPr>
          <w:rFonts w:ascii="Palatino Linotype" w:hAnsi="Palatino Linotype" w:cs="Tahoma"/>
          <w:b/>
        </w:rPr>
        <w:t>PARTICULAR</w:t>
      </w:r>
      <w:r w:rsidRPr="00EF10FB">
        <w:rPr>
          <w:rFonts w:ascii="Palatino Linotype" w:hAnsi="Palatino Linotype" w:cs="Tahoma"/>
          <w:b/>
        </w:rPr>
        <w:t xml:space="preserve"> QUE FORMULA EL COMISIONADO LUIS GUSTAVO PARRA NORIEGA, </w:t>
      </w:r>
      <w:r w:rsidR="00F17C34" w:rsidRPr="00EF10FB">
        <w:rPr>
          <w:rFonts w:ascii="Palatino Linotype" w:hAnsi="Palatino Linotype" w:cs="Tahoma"/>
          <w:b/>
        </w:rPr>
        <w:t>A</w:t>
      </w:r>
      <w:r w:rsidRPr="00EF10FB">
        <w:rPr>
          <w:rFonts w:ascii="Palatino Linotype" w:hAnsi="Palatino Linotype" w:cs="Tahoma"/>
          <w:b/>
        </w:rPr>
        <w:t xml:space="preserve"> LA RESOLUCI</w:t>
      </w:r>
      <w:r w:rsidR="00743EE0" w:rsidRPr="00EF10FB">
        <w:rPr>
          <w:rFonts w:ascii="Palatino Linotype" w:hAnsi="Palatino Linotype" w:cs="Tahoma"/>
          <w:b/>
        </w:rPr>
        <w:t xml:space="preserve">ÓN DEL RECURSO DE REVISIÓN </w:t>
      </w:r>
      <w:r w:rsidR="003D0982">
        <w:rPr>
          <w:rFonts w:ascii="Palatino Linotype" w:hAnsi="Palatino Linotype" w:cs="Tahoma"/>
          <w:b/>
        </w:rPr>
        <w:t>0215</w:t>
      </w:r>
      <w:r w:rsidR="002D539A" w:rsidRPr="00EF10FB">
        <w:rPr>
          <w:rFonts w:ascii="Palatino Linotype" w:hAnsi="Palatino Linotype" w:cs="Tahoma"/>
          <w:b/>
        </w:rPr>
        <w:t>2</w:t>
      </w:r>
      <w:r w:rsidR="009A1596" w:rsidRPr="00EF10FB">
        <w:rPr>
          <w:rFonts w:ascii="Palatino Linotype" w:hAnsi="Palatino Linotype" w:cs="Tahoma"/>
          <w:b/>
        </w:rPr>
        <w:t>/INFOEM/IP/RR/2019</w:t>
      </w:r>
      <w:r w:rsidR="00F17C34" w:rsidRPr="00EF10FB">
        <w:rPr>
          <w:rFonts w:ascii="Palatino Linotype" w:hAnsi="Palatino Linotype" w:cs="Tahoma"/>
          <w:b/>
        </w:rPr>
        <w:t>,</w:t>
      </w:r>
      <w:r w:rsidRPr="00EF10FB">
        <w:rPr>
          <w:rFonts w:ascii="Palatino Linotype" w:hAnsi="Palatino Linotype" w:cs="Tahoma"/>
          <w:b/>
        </w:rPr>
        <w:t xml:space="preserve"> PROMOVIDO EN CONTRA </w:t>
      </w:r>
      <w:r w:rsidR="00743EE0" w:rsidRPr="00EF10FB">
        <w:rPr>
          <w:rFonts w:ascii="Palatino Linotype" w:hAnsi="Palatino Linotype" w:cs="Tahoma"/>
          <w:b/>
        </w:rPr>
        <w:t>DE</w:t>
      </w:r>
      <w:r w:rsidR="003D0982">
        <w:rPr>
          <w:rFonts w:ascii="Palatino Linotype" w:hAnsi="Palatino Linotype" w:cs="Tahoma"/>
          <w:b/>
        </w:rPr>
        <w:t>L AYUNTAMIENTO DE CHALCO</w:t>
      </w:r>
      <w:r w:rsidR="002D539A" w:rsidRPr="00EF10FB">
        <w:rPr>
          <w:rFonts w:ascii="Palatino Linotype" w:hAnsi="Palatino Linotype" w:cs="Tahoma"/>
          <w:b/>
        </w:rPr>
        <w:t>.</w:t>
      </w:r>
    </w:p>
    <w:p w:rsidR="00D05444" w:rsidRPr="00EF10FB" w:rsidRDefault="00D05444" w:rsidP="00D30C32">
      <w:pPr>
        <w:spacing w:after="0" w:line="360" w:lineRule="auto"/>
        <w:jc w:val="both"/>
        <w:rPr>
          <w:rFonts w:ascii="Palatino Linotype" w:hAnsi="Palatino Linotype" w:cs="Tahoma"/>
        </w:rPr>
      </w:pPr>
    </w:p>
    <w:p w:rsidR="00D05444" w:rsidRPr="00EF10FB" w:rsidRDefault="00D05444" w:rsidP="00D30C32">
      <w:pPr>
        <w:spacing w:after="0" w:line="360" w:lineRule="auto"/>
        <w:jc w:val="both"/>
        <w:rPr>
          <w:rFonts w:ascii="Palatino Linotype" w:hAnsi="Palatino Linotype" w:cs="Tahoma"/>
        </w:rPr>
      </w:pPr>
      <w:r w:rsidRPr="00EF10FB">
        <w:rPr>
          <w:rFonts w:ascii="Palatino Linotype" w:hAnsi="Palatino Linotype" w:cs="Tahoma"/>
        </w:rPr>
        <w:t xml:space="preserve">En términos de lo dispuesto por el artículo 14, fracción XI, del Reglamento Interior del Instituto de Transparencia, Acceso a la Información Pública y Protección de Datos Personales del Estado de México y Municipios; 31, segundo párrafo y 44 último párrafo, de los Lineamientos de las Sesiones del Pleno del Instituto de Transparencia, Acceso a la Información Pública y Protección de Datos Personales del Estado de México y Municipios, emito el presente </w:t>
      </w:r>
      <w:r w:rsidR="00EF10FB" w:rsidRPr="00EF10FB">
        <w:rPr>
          <w:rFonts w:ascii="Palatino Linotype" w:hAnsi="Palatino Linotype" w:cs="Tahoma"/>
        </w:rPr>
        <w:t>V</w:t>
      </w:r>
      <w:r w:rsidRPr="00EF10FB">
        <w:rPr>
          <w:rFonts w:ascii="Palatino Linotype" w:hAnsi="Palatino Linotype" w:cs="Tahoma"/>
        </w:rPr>
        <w:t xml:space="preserve">oto </w:t>
      </w:r>
      <w:r w:rsidR="00596EE6">
        <w:rPr>
          <w:rFonts w:ascii="Palatino Linotype" w:hAnsi="Palatino Linotype" w:cs="Tahoma"/>
        </w:rPr>
        <w:t>Particular</w:t>
      </w:r>
      <w:r w:rsidRPr="00EF10FB">
        <w:rPr>
          <w:rFonts w:ascii="Palatino Linotype" w:hAnsi="Palatino Linotype" w:cs="Tahoma"/>
        </w:rPr>
        <w:t xml:space="preserve"> por no compartir</w:t>
      </w:r>
      <w:r w:rsidR="00596EE6">
        <w:rPr>
          <w:rFonts w:ascii="Palatino Linotype" w:hAnsi="Palatino Linotype" w:cs="Tahoma"/>
        </w:rPr>
        <w:t xml:space="preserve"> en su totalidad</w:t>
      </w:r>
      <w:r w:rsidRPr="00EF10FB">
        <w:rPr>
          <w:rFonts w:ascii="Palatino Linotype" w:hAnsi="Palatino Linotype" w:cs="Tahoma"/>
        </w:rPr>
        <w:t xml:space="preserve"> </w:t>
      </w:r>
      <w:r w:rsidR="00EF10FB" w:rsidRPr="00EF10FB">
        <w:rPr>
          <w:rFonts w:ascii="Palatino Linotype" w:hAnsi="Palatino Linotype" w:cs="Tahoma"/>
        </w:rPr>
        <w:t>el sentido</w:t>
      </w:r>
      <w:r w:rsidRPr="00EF10FB">
        <w:rPr>
          <w:rFonts w:ascii="Palatino Linotype" w:hAnsi="Palatino Linotype" w:cs="Tahoma"/>
        </w:rPr>
        <w:t xml:space="preserve"> </w:t>
      </w:r>
      <w:r w:rsidR="00EF10FB" w:rsidRPr="00EF10FB">
        <w:rPr>
          <w:rFonts w:ascii="Palatino Linotype" w:hAnsi="Palatino Linotype" w:cs="Tahoma"/>
        </w:rPr>
        <w:t>de</w:t>
      </w:r>
      <w:r w:rsidRPr="00EF10FB">
        <w:rPr>
          <w:rFonts w:ascii="Palatino Linotype" w:hAnsi="Palatino Linotype" w:cs="Tahoma"/>
        </w:rPr>
        <w:t xml:space="preserve"> la </w:t>
      </w:r>
      <w:r w:rsidR="00EF10FB" w:rsidRPr="00EF10FB">
        <w:rPr>
          <w:rFonts w:ascii="Palatino Linotype" w:hAnsi="Palatino Linotype" w:cs="Tahoma"/>
        </w:rPr>
        <w:t>R</w:t>
      </w:r>
      <w:r w:rsidRPr="00EF10FB">
        <w:rPr>
          <w:rFonts w:ascii="Palatino Linotype" w:hAnsi="Palatino Linotype" w:cs="Tahoma"/>
        </w:rPr>
        <w:t xml:space="preserve">esolución del </w:t>
      </w:r>
      <w:r w:rsidR="00EF10FB" w:rsidRPr="00EF10FB">
        <w:rPr>
          <w:rFonts w:ascii="Palatino Linotype" w:hAnsi="Palatino Linotype" w:cs="Tahoma"/>
        </w:rPr>
        <w:t>R</w:t>
      </w:r>
      <w:r w:rsidRPr="00EF10FB">
        <w:rPr>
          <w:rFonts w:ascii="Palatino Linotype" w:hAnsi="Palatino Linotype" w:cs="Tahoma"/>
        </w:rPr>
        <w:t xml:space="preserve">ecurso de </w:t>
      </w:r>
      <w:r w:rsidR="00EF10FB" w:rsidRPr="00EF10FB">
        <w:rPr>
          <w:rFonts w:ascii="Palatino Linotype" w:hAnsi="Palatino Linotype" w:cs="Tahoma"/>
        </w:rPr>
        <w:t>R</w:t>
      </w:r>
      <w:r w:rsidRPr="00EF10FB">
        <w:rPr>
          <w:rFonts w:ascii="Palatino Linotype" w:hAnsi="Palatino Linotype" w:cs="Tahoma"/>
        </w:rPr>
        <w:t xml:space="preserve">evisión </w:t>
      </w:r>
      <w:r w:rsidR="000549B5">
        <w:rPr>
          <w:rFonts w:ascii="Palatino Linotype" w:hAnsi="Palatino Linotype" w:cs="Tahoma"/>
        </w:rPr>
        <w:t>0215</w:t>
      </w:r>
      <w:r w:rsidR="00EF10FB" w:rsidRPr="00EF10FB">
        <w:rPr>
          <w:rFonts w:ascii="Palatino Linotype" w:hAnsi="Palatino Linotype" w:cs="Tahoma"/>
        </w:rPr>
        <w:t xml:space="preserve">2/INFOEM/IP/RR/2019, </w:t>
      </w:r>
      <w:r w:rsidRPr="00EF10FB">
        <w:rPr>
          <w:rFonts w:ascii="Palatino Linotype" w:hAnsi="Palatino Linotype" w:cs="Tahoma"/>
        </w:rPr>
        <w:t>que nos ocupa.</w:t>
      </w:r>
    </w:p>
    <w:p w:rsidR="00D05444" w:rsidRPr="00EF10FB" w:rsidRDefault="00D05444" w:rsidP="00D30C32">
      <w:pPr>
        <w:spacing w:after="0" w:line="360" w:lineRule="auto"/>
        <w:jc w:val="both"/>
        <w:rPr>
          <w:rFonts w:ascii="Palatino Linotype" w:hAnsi="Palatino Linotype" w:cs="Tahoma"/>
        </w:rPr>
      </w:pPr>
    </w:p>
    <w:p w:rsidR="00EF10FB" w:rsidRPr="00846270" w:rsidRDefault="00743EE0" w:rsidP="00D30C32">
      <w:pPr>
        <w:spacing w:after="0" w:line="360" w:lineRule="auto"/>
        <w:jc w:val="both"/>
        <w:rPr>
          <w:rFonts w:ascii="Palatino Linotype" w:hAnsi="Palatino Linotype" w:cs="Tahoma"/>
          <w:i/>
        </w:rPr>
      </w:pPr>
      <w:r w:rsidRPr="00EF10FB">
        <w:rPr>
          <w:rFonts w:ascii="Palatino Linotype" w:hAnsi="Palatino Linotype" w:cs="Tahoma"/>
        </w:rPr>
        <w:t xml:space="preserve">Como se desprende de la Resolución </w:t>
      </w:r>
      <w:r w:rsidR="00EF10FB" w:rsidRPr="00EF10FB">
        <w:rPr>
          <w:rFonts w:ascii="Palatino Linotype" w:hAnsi="Palatino Linotype" w:cs="Tahoma"/>
        </w:rPr>
        <w:t>en comento</w:t>
      </w:r>
      <w:r w:rsidRPr="00EF10FB">
        <w:rPr>
          <w:rFonts w:ascii="Palatino Linotype" w:hAnsi="Palatino Linotype" w:cs="Tahoma"/>
        </w:rPr>
        <w:t xml:space="preserve">, </w:t>
      </w:r>
      <w:r w:rsidR="00EF10FB" w:rsidRPr="00EF10FB">
        <w:rPr>
          <w:rFonts w:ascii="Palatino Linotype" w:hAnsi="Palatino Linotype" w:cs="Tahoma"/>
        </w:rPr>
        <w:t>la</w:t>
      </w:r>
      <w:r w:rsidR="00F17C34" w:rsidRPr="00EF10FB">
        <w:rPr>
          <w:rFonts w:ascii="Palatino Linotype" w:hAnsi="Palatino Linotype" w:cs="Tahoma"/>
        </w:rPr>
        <w:t xml:space="preserve"> Comisionad</w:t>
      </w:r>
      <w:r w:rsidR="00EF10FB" w:rsidRPr="00EF10FB">
        <w:rPr>
          <w:rFonts w:ascii="Palatino Linotype" w:hAnsi="Palatino Linotype" w:cs="Tahoma"/>
        </w:rPr>
        <w:t>a</w:t>
      </w:r>
      <w:r w:rsidR="00F17C34" w:rsidRPr="00EF10FB">
        <w:rPr>
          <w:rFonts w:ascii="Palatino Linotype" w:hAnsi="Palatino Linotype" w:cs="Tahoma"/>
        </w:rPr>
        <w:t xml:space="preserve"> Ponente argumentó</w:t>
      </w:r>
      <w:r w:rsidR="003C4BD1" w:rsidRPr="00EF10FB">
        <w:rPr>
          <w:rFonts w:ascii="Palatino Linotype" w:hAnsi="Palatino Linotype" w:cs="Tahoma"/>
        </w:rPr>
        <w:t xml:space="preserve"> que durante la tramitación del Recurso de Revisión </w:t>
      </w:r>
      <w:r w:rsidR="00846270">
        <w:rPr>
          <w:rFonts w:ascii="Palatino Linotype" w:hAnsi="Palatino Linotype" w:cs="Tahoma"/>
        </w:rPr>
        <w:t xml:space="preserve">que la información solicitada, fue ya entregada al Particular en el </w:t>
      </w:r>
      <w:bookmarkStart w:id="0" w:name="_GoBack"/>
      <w:bookmarkEnd w:id="0"/>
      <w:r w:rsidR="00846270">
        <w:rPr>
          <w:rFonts w:ascii="Palatino Linotype" w:hAnsi="Palatino Linotype" w:cs="Tahoma"/>
        </w:rPr>
        <w:t xml:space="preserve">Recurso de Revisión </w:t>
      </w:r>
      <w:r w:rsidR="00846270" w:rsidRPr="00846270">
        <w:rPr>
          <w:rFonts w:ascii="Palatino Linotype" w:hAnsi="Palatino Linotype" w:cs="Tahoma"/>
        </w:rPr>
        <w:t>03982/INFOEM/IP/RR/2018</w:t>
      </w:r>
      <w:r w:rsidR="00846270">
        <w:rPr>
          <w:rFonts w:ascii="Palatino Linotype" w:hAnsi="Palatino Linotype" w:cs="Tahoma"/>
        </w:rPr>
        <w:t xml:space="preserve">, por lo que se actualiza el supuesto jurídico de </w:t>
      </w:r>
      <w:r w:rsidR="00846270" w:rsidRPr="00846270">
        <w:rPr>
          <w:rFonts w:ascii="Palatino Linotype" w:hAnsi="Palatino Linotype" w:cs="Tahoma"/>
          <w:i/>
        </w:rPr>
        <w:t>cosa juzgada</w:t>
      </w:r>
      <w:r w:rsidR="00846270">
        <w:rPr>
          <w:rFonts w:ascii="Palatino Linotype" w:hAnsi="Palatino Linotype" w:cs="Tahoma"/>
        </w:rPr>
        <w:t xml:space="preserve">, previsto en el </w:t>
      </w:r>
      <w:r w:rsidR="00846270" w:rsidRPr="00846270">
        <w:rPr>
          <w:rFonts w:ascii="Palatino Linotype" w:hAnsi="Palatino Linotype" w:cs="Tahoma"/>
        </w:rPr>
        <w:t xml:space="preserve">artículo 1.205 del Código de Procedimientos Civiles del Estado de México, </w:t>
      </w:r>
      <w:r w:rsidR="00846270" w:rsidRPr="00846270">
        <w:rPr>
          <w:rFonts w:ascii="Palatino Linotype" w:hAnsi="Palatino Linotype" w:cs="Tahoma"/>
          <w:i/>
        </w:rPr>
        <w:t>que establece que hay cosa juzgada cuando la sentencia ha causado estado; en otras palabras, adquiere la calidad de cosa juzgada cuando el caso planteado en un proceso ha sido definitivamente resuelto en otro anterior mediante resolución firme, con lo cual se salvaguarda el principio de seguridad jurídica, que evita la interposición de recursos sucesivos sobre cuestiones que ya han sido resueltas.</w:t>
      </w:r>
    </w:p>
    <w:p w:rsidR="00846270" w:rsidRDefault="00846270" w:rsidP="00D30C32">
      <w:pPr>
        <w:spacing w:after="0" w:line="360" w:lineRule="auto"/>
        <w:jc w:val="both"/>
        <w:rPr>
          <w:rFonts w:ascii="Palatino Linotype" w:hAnsi="Palatino Linotype" w:cs="Tahoma"/>
        </w:rPr>
      </w:pPr>
    </w:p>
    <w:p w:rsidR="00846270" w:rsidRDefault="00846270" w:rsidP="00D30C32">
      <w:pPr>
        <w:spacing w:after="0" w:line="360" w:lineRule="auto"/>
        <w:jc w:val="both"/>
        <w:rPr>
          <w:rFonts w:ascii="Palatino Linotype" w:hAnsi="Palatino Linotype" w:cs="Tahoma"/>
        </w:rPr>
      </w:pPr>
      <w:r>
        <w:rPr>
          <w:rFonts w:ascii="Palatino Linotype" w:hAnsi="Palatino Linotype" w:cs="Tahoma"/>
        </w:rPr>
        <w:t xml:space="preserve">Para reforzar lo anterior, agrega los artículos </w:t>
      </w:r>
      <w:r w:rsidR="00A037C5">
        <w:rPr>
          <w:rFonts w:ascii="Palatino Linotype" w:hAnsi="Palatino Linotype" w:cs="Tahoma"/>
        </w:rPr>
        <w:t>del mismo ordenamiento</w:t>
      </w:r>
      <w:r w:rsidR="00A037C5">
        <w:rPr>
          <w:rFonts w:ascii="Palatino Linotype" w:hAnsi="Palatino Linotype" w:cs="Tahoma"/>
        </w:rPr>
        <w:t xml:space="preserve"> que a continuación se reproducen:</w:t>
      </w:r>
      <w:r>
        <w:rPr>
          <w:rFonts w:ascii="Palatino Linotype" w:hAnsi="Palatino Linotype" w:cs="Tahoma"/>
        </w:rPr>
        <w:t xml:space="preserve"> </w:t>
      </w:r>
    </w:p>
    <w:p w:rsidR="00846270" w:rsidRDefault="00846270" w:rsidP="00D30C32">
      <w:pPr>
        <w:spacing w:after="0" w:line="360" w:lineRule="auto"/>
        <w:jc w:val="both"/>
        <w:rPr>
          <w:rFonts w:ascii="Palatino Linotype" w:hAnsi="Palatino Linotype" w:cs="Tahoma"/>
        </w:rPr>
      </w:pPr>
    </w:p>
    <w:p w:rsidR="00846270" w:rsidRPr="00A037C5" w:rsidRDefault="00846270" w:rsidP="00F753FF">
      <w:pPr>
        <w:spacing w:before="120" w:after="120" w:line="276" w:lineRule="auto"/>
        <w:ind w:left="567" w:right="567"/>
        <w:jc w:val="both"/>
        <w:rPr>
          <w:rFonts w:ascii="Palatino Linotype" w:hAnsi="Palatino Linotype"/>
          <w:b/>
          <w:i/>
          <w:sz w:val="20"/>
          <w:szCs w:val="20"/>
        </w:rPr>
      </w:pPr>
      <w:r w:rsidRPr="00A037C5">
        <w:rPr>
          <w:rFonts w:ascii="Palatino Linotype" w:hAnsi="Palatino Linotype"/>
          <w:b/>
          <w:i/>
          <w:sz w:val="20"/>
          <w:szCs w:val="20"/>
        </w:rPr>
        <w:lastRenderedPageBreak/>
        <w:t>“Indiscutibilidad de la cosa juzgada</w:t>
      </w:r>
    </w:p>
    <w:p w:rsidR="00846270" w:rsidRPr="00A037C5" w:rsidRDefault="00846270" w:rsidP="00F753FF">
      <w:pPr>
        <w:spacing w:before="120" w:after="120" w:line="276" w:lineRule="auto"/>
        <w:ind w:left="567" w:right="567"/>
        <w:jc w:val="both"/>
        <w:rPr>
          <w:rFonts w:ascii="Palatino Linotype" w:hAnsi="Palatino Linotype"/>
          <w:i/>
          <w:sz w:val="20"/>
          <w:szCs w:val="20"/>
        </w:rPr>
      </w:pPr>
      <w:r w:rsidRPr="00A037C5">
        <w:rPr>
          <w:rFonts w:ascii="Palatino Linotype" w:hAnsi="Palatino Linotype"/>
          <w:b/>
          <w:i/>
          <w:sz w:val="20"/>
          <w:szCs w:val="20"/>
        </w:rPr>
        <w:t>Artículo 1.206.-</w:t>
      </w:r>
      <w:r w:rsidRPr="00A037C5">
        <w:rPr>
          <w:rFonts w:ascii="Palatino Linotype" w:hAnsi="Palatino Linotype"/>
          <w:i/>
          <w:sz w:val="20"/>
          <w:szCs w:val="20"/>
        </w:rPr>
        <w:t xml:space="preserve"> </w:t>
      </w:r>
      <w:r w:rsidRPr="00A037C5">
        <w:rPr>
          <w:rFonts w:ascii="Palatino Linotype" w:hAnsi="Palatino Linotype"/>
          <w:b/>
          <w:i/>
          <w:sz w:val="20"/>
          <w:szCs w:val="20"/>
          <w:u w:val="single"/>
        </w:rPr>
        <w:t xml:space="preserve">La cosa juzgada es la sentencia que constituye verdad legal, contra ella no se admite recurso ni prueba </w:t>
      </w:r>
      <w:r w:rsidRPr="00A037C5">
        <w:rPr>
          <w:rFonts w:ascii="Palatino Linotype" w:hAnsi="Palatino Linotype" w:cs="Arial"/>
          <w:b/>
          <w:i/>
          <w:sz w:val="20"/>
          <w:szCs w:val="20"/>
          <w:u w:val="single"/>
        </w:rPr>
        <w:t>que</w:t>
      </w:r>
      <w:r w:rsidRPr="00A037C5">
        <w:rPr>
          <w:rFonts w:ascii="Palatino Linotype" w:hAnsi="Palatino Linotype"/>
          <w:b/>
          <w:i/>
          <w:sz w:val="20"/>
          <w:szCs w:val="20"/>
          <w:u w:val="single"/>
        </w:rPr>
        <w:t xml:space="preserve"> pueda</w:t>
      </w:r>
      <w:r w:rsidRPr="00A037C5">
        <w:rPr>
          <w:rFonts w:ascii="Palatino Linotype" w:hAnsi="Palatino Linotype"/>
          <w:i/>
          <w:sz w:val="20"/>
          <w:szCs w:val="20"/>
        </w:rPr>
        <w:t xml:space="preserve"> discutirla, </w:t>
      </w:r>
      <w:r w:rsidRPr="00A037C5">
        <w:rPr>
          <w:rFonts w:ascii="Palatino Linotype" w:hAnsi="Palatino Linotype"/>
          <w:b/>
          <w:i/>
          <w:sz w:val="20"/>
          <w:szCs w:val="20"/>
          <w:u w:val="single"/>
        </w:rPr>
        <w:t>modificarla, revocarla</w:t>
      </w:r>
      <w:r w:rsidRPr="00A037C5">
        <w:rPr>
          <w:rFonts w:ascii="Palatino Linotype" w:hAnsi="Palatino Linotype"/>
          <w:i/>
          <w:sz w:val="20"/>
          <w:szCs w:val="20"/>
        </w:rPr>
        <w:t xml:space="preserve"> o anularla, salvo los casos expresamente determinados por la ley. </w:t>
      </w:r>
    </w:p>
    <w:p w:rsidR="00846270" w:rsidRPr="00A037C5" w:rsidRDefault="00846270" w:rsidP="00F753FF">
      <w:pPr>
        <w:spacing w:before="120" w:after="120" w:line="276" w:lineRule="auto"/>
        <w:ind w:left="567" w:right="567"/>
        <w:jc w:val="both"/>
        <w:rPr>
          <w:rFonts w:ascii="Palatino Linotype" w:hAnsi="Palatino Linotype"/>
          <w:b/>
          <w:i/>
          <w:sz w:val="20"/>
          <w:szCs w:val="20"/>
        </w:rPr>
      </w:pPr>
      <w:r w:rsidRPr="00A037C5">
        <w:rPr>
          <w:rFonts w:ascii="Palatino Linotype" w:hAnsi="Palatino Linotype"/>
          <w:b/>
          <w:i/>
          <w:sz w:val="20"/>
          <w:szCs w:val="20"/>
        </w:rPr>
        <w:t xml:space="preserve">Elementos de la cosa juzgada </w:t>
      </w:r>
    </w:p>
    <w:p w:rsidR="00846270" w:rsidRPr="00A037C5" w:rsidRDefault="00846270" w:rsidP="00F753FF">
      <w:pPr>
        <w:spacing w:before="120" w:after="120" w:line="276" w:lineRule="auto"/>
        <w:ind w:left="567" w:right="567"/>
        <w:jc w:val="both"/>
        <w:rPr>
          <w:rFonts w:ascii="Palatino Linotype" w:hAnsi="Palatino Linotype"/>
          <w:i/>
          <w:sz w:val="20"/>
          <w:szCs w:val="20"/>
        </w:rPr>
      </w:pPr>
      <w:r w:rsidRPr="00A037C5">
        <w:rPr>
          <w:rFonts w:ascii="Palatino Linotype" w:hAnsi="Palatino Linotype"/>
          <w:b/>
          <w:i/>
          <w:sz w:val="20"/>
          <w:szCs w:val="20"/>
        </w:rPr>
        <w:t>Artículo 1.207.-</w:t>
      </w:r>
      <w:r w:rsidRPr="00A037C5">
        <w:rPr>
          <w:rFonts w:ascii="Palatino Linotype" w:hAnsi="Palatino Linotype"/>
          <w:i/>
          <w:sz w:val="20"/>
          <w:szCs w:val="20"/>
        </w:rPr>
        <w:t xml:space="preserve"> Para que la cosa juzgada surta efecto en otro juicio, es necesario que entre el caso resuelto por la </w:t>
      </w:r>
      <w:r w:rsidRPr="00A037C5">
        <w:rPr>
          <w:rFonts w:ascii="Palatino Linotype" w:hAnsi="Palatino Linotype" w:cs="Arial"/>
          <w:i/>
          <w:sz w:val="20"/>
          <w:szCs w:val="20"/>
        </w:rPr>
        <w:t>sentencia</w:t>
      </w:r>
      <w:r w:rsidRPr="00A037C5">
        <w:rPr>
          <w:rFonts w:ascii="Palatino Linotype" w:hAnsi="Palatino Linotype"/>
          <w:i/>
          <w:sz w:val="20"/>
          <w:szCs w:val="20"/>
        </w:rPr>
        <w:t xml:space="preserve"> y aquel en que sea invocada, concurra identidad en las cosas, las causas, las personas de los litigantes. </w:t>
      </w:r>
    </w:p>
    <w:p w:rsidR="00846270" w:rsidRPr="00A037C5" w:rsidRDefault="00846270" w:rsidP="00F753FF">
      <w:pPr>
        <w:spacing w:before="120" w:after="120" w:line="276" w:lineRule="auto"/>
        <w:ind w:left="567" w:right="567"/>
        <w:jc w:val="both"/>
        <w:rPr>
          <w:rFonts w:ascii="Palatino Linotype" w:hAnsi="Palatino Linotype"/>
          <w:b/>
          <w:i/>
          <w:sz w:val="20"/>
          <w:szCs w:val="20"/>
        </w:rPr>
      </w:pPr>
      <w:r w:rsidRPr="00A037C5">
        <w:rPr>
          <w:rFonts w:ascii="Palatino Linotype" w:hAnsi="Palatino Linotype"/>
          <w:b/>
          <w:i/>
          <w:sz w:val="20"/>
          <w:szCs w:val="20"/>
        </w:rPr>
        <w:t xml:space="preserve">Identidad de personas en la cosa juzgada </w:t>
      </w:r>
    </w:p>
    <w:p w:rsidR="00846270" w:rsidRPr="00A037C5" w:rsidRDefault="00846270" w:rsidP="00F753FF">
      <w:pPr>
        <w:spacing w:before="120" w:after="120" w:line="276" w:lineRule="auto"/>
        <w:ind w:left="567" w:right="567"/>
        <w:jc w:val="both"/>
        <w:rPr>
          <w:rFonts w:ascii="Palatino Linotype" w:hAnsi="Palatino Linotype"/>
          <w:i/>
          <w:sz w:val="20"/>
          <w:szCs w:val="20"/>
        </w:rPr>
      </w:pPr>
      <w:r w:rsidRPr="00A037C5">
        <w:rPr>
          <w:rFonts w:ascii="Palatino Linotype" w:hAnsi="Palatino Linotype"/>
          <w:b/>
          <w:i/>
          <w:sz w:val="20"/>
          <w:szCs w:val="20"/>
        </w:rPr>
        <w:t>Artículo 1.208.-</w:t>
      </w:r>
      <w:r w:rsidRPr="00A037C5">
        <w:rPr>
          <w:rFonts w:ascii="Palatino Linotype" w:hAnsi="Palatino Linotype"/>
          <w:i/>
          <w:sz w:val="20"/>
          <w:szCs w:val="20"/>
        </w:rPr>
        <w:t xml:space="preserve"> Se entiende que hay identidad de personas siempre que los litigantes del segundo juicio, sean </w:t>
      </w:r>
      <w:r w:rsidRPr="00A037C5">
        <w:rPr>
          <w:rFonts w:ascii="Palatino Linotype" w:hAnsi="Palatino Linotype" w:cs="Arial"/>
          <w:i/>
          <w:sz w:val="20"/>
          <w:szCs w:val="20"/>
        </w:rPr>
        <w:t>causahabientes</w:t>
      </w:r>
      <w:r w:rsidRPr="00A037C5">
        <w:rPr>
          <w:rFonts w:ascii="Palatino Linotype" w:hAnsi="Palatino Linotype"/>
          <w:i/>
          <w:sz w:val="20"/>
          <w:szCs w:val="20"/>
        </w:rPr>
        <w:t xml:space="preserve"> de los que contendieron en el anterior o estén unidos a ellos por solidaridad o indivisibilidad de las prestaciones entre los que tienen derecho a exigirlas u obligación de satisfacerlas.”</w:t>
      </w:r>
    </w:p>
    <w:p w:rsidR="00846270" w:rsidRPr="00A037C5" w:rsidRDefault="00846270" w:rsidP="00F753FF">
      <w:pPr>
        <w:spacing w:after="0" w:line="360" w:lineRule="auto"/>
        <w:ind w:left="567" w:right="567"/>
        <w:jc w:val="both"/>
        <w:rPr>
          <w:rFonts w:ascii="Palatino Linotype" w:hAnsi="Palatino Linotype" w:cs="Tahoma"/>
          <w:sz w:val="20"/>
          <w:szCs w:val="20"/>
        </w:rPr>
      </w:pPr>
      <w:r w:rsidRPr="00A037C5">
        <w:rPr>
          <w:rFonts w:ascii="Palatino Linotype" w:hAnsi="Palatino Linotype"/>
          <w:sz w:val="20"/>
          <w:szCs w:val="20"/>
        </w:rPr>
        <w:t>(Énfasis añadido)</w:t>
      </w:r>
    </w:p>
    <w:p w:rsidR="00EF10FB" w:rsidRPr="00EF10FB" w:rsidRDefault="00EF10FB" w:rsidP="00EF10FB">
      <w:pPr>
        <w:spacing w:after="0" w:line="360" w:lineRule="auto"/>
        <w:ind w:left="567" w:right="567"/>
        <w:jc w:val="both"/>
        <w:rPr>
          <w:rFonts w:ascii="Palatino Linotype" w:hAnsi="Palatino Linotype" w:cs="Tahoma"/>
          <w:i/>
          <w:sz w:val="20"/>
          <w:szCs w:val="20"/>
        </w:rPr>
      </w:pPr>
    </w:p>
    <w:p w:rsidR="00743EE0" w:rsidRPr="00EF10FB" w:rsidRDefault="00F17C34" w:rsidP="00D30C32">
      <w:pPr>
        <w:spacing w:after="0" w:line="360" w:lineRule="auto"/>
        <w:jc w:val="both"/>
        <w:rPr>
          <w:rFonts w:ascii="Palatino Linotype" w:hAnsi="Palatino Linotype" w:cs="Tahoma"/>
        </w:rPr>
      </w:pPr>
      <w:r w:rsidRPr="00EF10FB">
        <w:rPr>
          <w:rFonts w:ascii="Palatino Linotype" w:hAnsi="Palatino Linotype" w:cs="Tahoma"/>
        </w:rPr>
        <w:t>Al respecto</w:t>
      </w:r>
      <w:r w:rsidR="003C4BD1" w:rsidRPr="00EF10FB">
        <w:rPr>
          <w:rFonts w:ascii="Palatino Linotype" w:hAnsi="Palatino Linotype" w:cs="Tahoma"/>
        </w:rPr>
        <w:t xml:space="preserve">, considero que la Resolución no identifica de forma </w:t>
      </w:r>
      <w:r w:rsidR="00FC16A3" w:rsidRPr="00EF10FB">
        <w:rPr>
          <w:rFonts w:ascii="Palatino Linotype" w:hAnsi="Palatino Linotype" w:cs="Tahoma"/>
        </w:rPr>
        <w:t xml:space="preserve">precisa la causal de improcedencia </w:t>
      </w:r>
      <w:r w:rsidR="00A037C5">
        <w:rPr>
          <w:rFonts w:ascii="Palatino Linotype" w:hAnsi="Palatino Linotype" w:cs="Tahoma"/>
        </w:rPr>
        <w:t xml:space="preserve">o sobreseimiento, </w:t>
      </w:r>
      <w:r w:rsidR="00FC16A3" w:rsidRPr="00EF10FB">
        <w:rPr>
          <w:rFonts w:ascii="Palatino Linotype" w:hAnsi="Palatino Linotype" w:cs="Tahoma"/>
        </w:rPr>
        <w:t xml:space="preserve">del catálogo establecido en </w:t>
      </w:r>
      <w:r w:rsidR="00A037C5">
        <w:rPr>
          <w:rFonts w:ascii="Palatino Linotype" w:hAnsi="Palatino Linotype" w:cs="Tahoma"/>
        </w:rPr>
        <w:t>los</w:t>
      </w:r>
      <w:r w:rsidR="00FC16A3" w:rsidRPr="00EF10FB">
        <w:rPr>
          <w:rFonts w:ascii="Palatino Linotype" w:hAnsi="Palatino Linotype" w:cs="Tahoma"/>
        </w:rPr>
        <w:t xml:space="preserve"> artículo</w:t>
      </w:r>
      <w:r w:rsidR="00A037C5">
        <w:rPr>
          <w:rFonts w:ascii="Palatino Linotype" w:hAnsi="Palatino Linotype" w:cs="Tahoma"/>
        </w:rPr>
        <w:t>s</w:t>
      </w:r>
      <w:r w:rsidR="00FC16A3" w:rsidRPr="00EF10FB">
        <w:rPr>
          <w:rFonts w:ascii="Palatino Linotype" w:hAnsi="Palatino Linotype" w:cs="Tahoma"/>
        </w:rPr>
        <w:t xml:space="preserve"> 191</w:t>
      </w:r>
      <w:r w:rsidR="00A037C5">
        <w:rPr>
          <w:rFonts w:ascii="Palatino Linotype" w:hAnsi="Palatino Linotype" w:cs="Tahoma"/>
        </w:rPr>
        <w:t xml:space="preserve"> y 192</w:t>
      </w:r>
      <w:r w:rsidR="00FC16A3" w:rsidRPr="00EF10FB">
        <w:rPr>
          <w:rFonts w:ascii="Palatino Linotype" w:hAnsi="Palatino Linotype" w:cs="Tahoma"/>
        </w:rPr>
        <w:t xml:space="preserve"> de la Ley de Transparencia y Acceso a la Información Pública del Estado de M</w:t>
      </w:r>
      <w:r w:rsidR="003A33E2" w:rsidRPr="00EF10FB">
        <w:rPr>
          <w:rFonts w:ascii="Palatino Linotype" w:hAnsi="Palatino Linotype" w:cs="Tahoma"/>
        </w:rPr>
        <w:t xml:space="preserve">éxico, ya que no existe </w:t>
      </w:r>
      <w:r w:rsidR="00A037C5">
        <w:rPr>
          <w:rFonts w:ascii="Palatino Linotype" w:hAnsi="Palatino Linotype" w:cs="Tahoma"/>
        </w:rPr>
        <w:t>alguna</w:t>
      </w:r>
      <w:r w:rsidR="003A33E2" w:rsidRPr="00EF10FB">
        <w:rPr>
          <w:rFonts w:ascii="Palatino Linotype" w:hAnsi="Palatino Linotype" w:cs="Tahoma"/>
        </w:rPr>
        <w:t xml:space="preserve"> que refiera que el Recurso de Revisión deberá ser desechado </w:t>
      </w:r>
      <w:r w:rsidR="00A037C5">
        <w:rPr>
          <w:rFonts w:ascii="Palatino Linotype" w:hAnsi="Palatino Linotype" w:cs="Tahoma"/>
        </w:rPr>
        <w:t xml:space="preserve">o sobreseído </w:t>
      </w:r>
      <w:r w:rsidR="003A33E2" w:rsidRPr="00EF10FB">
        <w:rPr>
          <w:rFonts w:ascii="Palatino Linotype" w:hAnsi="Palatino Linotype" w:cs="Tahoma"/>
        </w:rPr>
        <w:t xml:space="preserve">cuando </w:t>
      </w:r>
      <w:r w:rsidR="00A037C5">
        <w:rPr>
          <w:rFonts w:ascii="Palatino Linotype" w:hAnsi="Palatino Linotype" w:cs="Tahoma"/>
        </w:rPr>
        <w:t xml:space="preserve">un particular recurra información que </w:t>
      </w:r>
      <w:r w:rsidR="003A33E2" w:rsidRPr="00EF10FB">
        <w:rPr>
          <w:rFonts w:ascii="Palatino Linotype" w:hAnsi="Palatino Linotype" w:cs="Tahoma"/>
        </w:rPr>
        <w:t>haya</w:t>
      </w:r>
      <w:r w:rsidRPr="00EF10FB">
        <w:rPr>
          <w:rFonts w:ascii="Palatino Linotype" w:hAnsi="Palatino Linotype" w:cs="Tahoma"/>
        </w:rPr>
        <w:t xml:space="preserve"> sido </w:t>
      </w:r>
      <w:r w:rsidR="00A037C5">
        <w:rPr>
          <w:rFonts w:ascii="Palatino Linotype" w:hAnsi="Palatino Linotype" w:cs="Tahoma"/>
        </w:rPr>
        <w:t>solicitada anteriormente.</w:t>
      </w:r>
    </w:p>
    <w:p w:rsidR="003A33E2" w:rsidRPr="00EF10FB" w:rsidRDefault="003A33E2" w:rsidP="00D30C32">
      <w:pPr>
        <w:spacing w:after="0" w:line="360" w:lineRule="auto"/>
        <w:jc w:val="both"/>
        <w:rPr>
          <w:rFonts w:ascii="Palatino Linotype" w:hAnsi="Palatino Linotype" w:cs="Tahoma"/>
        </w:rPr>
      </w:pPr>
    </w:p>
    <w:p w:rsidR="004E7E73" w:rsidRPr="00EF10FB" w:rsidRDefault="00FD683E" w:rsidP="00D30C32">
      <w:pPr>
        <w:spacing w:after="0" w:line="360" w:lineRule="auto"/>
        <w:jc w:val="both"/>
        <w:rPr>
          <w:rFonts w:ascii="Palatino Linotype" w:hAnsi="Palatino Linotype" w:cs="Tahoma"/>
          <w:lang w:val="es-MX"/>
        </w:rPr>
      </w:pPr>
      <w:r>
        <w:rPr>
          <w:rFonts w:ascii="Palatino Linotype" w:hAnsi="Palatino Linotype" w:cs="Tahoma"/>
        </w:rPr>
        <w:t xml:space="preserve">Asimismo, se sustenta el análisis en </w:t>
      </w:r>
      <w:r w:rsidR="00EF10FB" w:rsidRPr="00EF10FB">
        <w:rPr>
          <w:rFonts w:ascii="Palatino Linotype" w:hAnsi="Palatino Linotype" w:cs="Tahoma"/>
        </w:rPr>
        <w:t xml:space="preserve">la figura de la cosa juzgada y, </w:t>
      </w:r>
      <w:r w:rsidR="004E7E73" w:rsidRPr="00EF10FB">
        <w:rPr>
          <w:rFonts w:ascii="Palatino Linotype" w:hAnsi="Palatino Linotype" w:cs="Tahoma"/>
          <w:lang w:val="es-MX"/>
        </w:rPr>
        <w:t xml:space="preserve">de conformidad con la jurisprudencia </w:t>
      </w:r>
      <w:r w:rsidR="00F17C34" w:rsidRPr="00EF10FB">
        <w:rPr>
          <w:rFonts w:ascii="Palatino Linotype" w:hAnsi="Palatino Linotype" w:cs="Tahoma"/>
          <w:lang w:val="es-MX"/>
        </w:rPr>
        <w:t xml:space="preserve">COSA JUZGADA. REQUISITOS PARA QUE SE CONFIGURE, </w:t>
      </w:r>
      <w:r w:rsidR="00C04AB8" w:rsidRPr="00EF10FB">
        <w:rPr>
          <w:rFonts w:ascii="Palatino Linotype" w:hAnsi="Palatino Linotype" w:cs="Tahoma"/>
          <w:lang w:val="es-MX"/>
        </w:rPr>
        <w:t>número 182437. I.6o.T.28 K.</w:t>
      </w:r>
      <w:r w:rsidR="004E7E73" w:rsidRPr="00EF10FB">
        <w:rPr>
          <w:rFonts w:ascii="Palatino Linotype" w:hAnsi="Palatino Linotype" w:cs="Tahoma"/>
          <w:lang w:val="es-MX"/>
        </w:rPr>
        <w:t xml:space="preserve">, los supuestos que deben verificarse a fin de determinar la existencia de la cosa juzgada en un juicio, son: </w:t>
      </w:r>
      <w:r w:rsidR="004E7E73" w:rsidRPr="00EF10FB">
        <w:rPr>
          <w:rFonts w:ascii="Palatino Linotype" w:hAnsi="Palatino Linotype" w:cs="Tahoma"/>
          <w:b/>
          <w:lang w:val="es-MX"/>
        </w:rPr>
        <w:t>a) Identidad de las personas que intervinieron en los dos juicios</w:t>
      </w:r>
      <w:r w:rsidR="004E7E73" w:rsidRPr="00EF10FB">
        <w:rPr>
          <w:rFonts w:ascii="Palatino Linotype" w:hAnsi="Palatino Linotype" w:cs="Tahoma"/>
          <w:lang w:val="es-MX"/>
        </w:rPr>
        <w:t xml:space="preserve">; </w:t>
      </w:r>
      <w:r w:rsidR="004E7E73" w:rsidRPr="00EF10FB">
        <w:rPr>
          <w:rFonts w:ascii="Palatino Linotype" w:hAnsi="Palatino Linotype" w:cs="Tahoma"/>
          <w:b/>
          <w:lang w:val="es-MX"/>
        </w:rPr>
        <w:t>b) Identidad en las cosas que se demandan en los juicios</w:t>
      </w:r>
      <w:r w:rsidR="004E7E73" w:rsidRPr="00EF10FB">
        <w:rPr>
          <w:rFonts w:ascii="Palatino Linotype" w:hAnsi="Palatino Linotype" w:cs="Tahoma"/>
          <w:lang w:val="es-MX"/>
        </w:rPr>
        <w:t>; y, c</w:t>
      </w:r>
      <w:r w:rsidR="004E7E73" w:rsidRPr="00EF10FB">
        <w:rPr>
          <w:rFonts w:ascii="Palatino Linotype" w:hAnsi="Palatino Linotype" w:cs="Tahoma"/>
          <w:b/>
          <w:lang w:val="es-MX"/>
        </w:rPr>
        <w:t>) Identidad de las causas en que se fundan las dos demandas</w:t>
      </w:r>
      <w:r w:rsidR="004E7E73" w:rsidRPr="00EF10FB">
        <w:rPr>
          <w:rFonts w:ascii="Palatino Linotype" w:hAnsi="Palatino Linotype" w:cs="Tahoma"/>
          <w:lang w:val="es-MX"/>
        </w:rPr>
        <w:t xml:space="preserve">; sin embargo, se advierte un cuarto elemento de convicción que requiere verificar el juzgador a fin de actualizar la institución de la cosa </w:t>
      </w:r>
      <w:r w:rsidR="004E7E73" w:rsidRPr="00EF10FB">
        <w:rPr>
          <w:rFonts w:ascii="Palatino Linotype" w:hAnsi="Palatino Linotype" w:cs="Tahoma"/>
          <w:lang w:val="es-MX"/>
        </w:rPr>
        <w:lastRenderedPageBreak/>
        <w:t>juzgada y que se refiere a que en la primera sentencia se haya procedido al análisis del fondo de las pretensiones propuestas.</w:t>
      </w:r>
    </w:p>
    <w:p w:rsidR="004E7E73" w:rsidRPr="00EF10FB" w:rsidRDefault="004E7E73" w:rsidP="00D30C32">
      <w:pPr>
        <w:spacing w:after="0" w:line="360" w:lineRule="auto"/>
        <w:jc w:val="both"/>
        <w:rPr>
          <w:rFonts w:ascii="Palatino Linotype" w:hAnsi="Palatino Linotype" w:cs="Tahoma"/>
          <w:lang w:val="es-MX"/>
        </w:rPr>
      </w:pPr>
    </w:p>
    <w:p w:rsidR="004E7E73" w:rsidRPr="00EF10FB" w:rsidRDefault="004E7E73" w:rsidP="00D30C32">
      <w:pPr>
        <w:spacing w:after="0" w:line="360" w:lineRule="auto"/>
        <w:jc w:val="both"/>
        <w:rPr>
          <w:rFonts w:ascii="Palatino Linotype" w:hAnsi="Palatino Linotype" w:cs="Tahoma"/>
          <w:lang w:val="es-MX"/>
        </w:rPr>
      </w:pPr>
      <w:r w:rsidRPr="00EF10FB">
        <w:rPr>
          <w:rFonts w:ascii="Palatino Linotype" w:hAnsi="Palatino Linotype" w:cs="Tahoma"/>
          <w:lang w:val="es-MX"/>
        </w:rPr>
        <w:t>Con respecto a</w:t>
      </w:r>
      <w:r w:rsidR="00EF10FB" w:rsidRPr="00EF10FB">
        <w:rPr>
          <w:rFonts w:ascii="Palatino Linotype" w:hAnsi="Palatino Linotype" w:cs="Tahoma"/>
          <w:lang w:val="es-MX"/>
        </w:rPr>
        <w:t>l primer supuesto a verificarse;</w:t>
      </w:r>
      <w:r w:rsidRPr="00EF10FB">
        <w:rPr>
          <w:rFonts w:ascii="Palatino Linotype" w:hAnsi="Palatino Linotype" w:cs="Tahoma"/>
          <w:lang w:val="es-MX"/>
        </w:rPr>
        <w:t xml:space="preserve"> es decir, identidad de las partes, es de suma importancia resaltar que el derecho de acceso a la información, de conformidad con el artículo 6°, apartado A, fracción III, puede ejercerse sin necesidad de acreditar interés alguno o justificar su utilización, en ese sentido, el artículo 155, penúltimo y último párrafo, de la Ley de Transparencia y Acceso a la Información Pública del Estado de México y Municipios, dispone que el nombre del solicitante será proporcionado de manera opcional al momento de presentar una solicitud de acceso, </w:t>
      </w:r>
      <w:r w:rsidR="00C04AB8" w:rsidRPr="00EF10FB">
        <w:rPr>
          <w:rFonts w:ascii="Palatino Linotype" w:hAnsi="Palatino Linotype" w:cs="Tahoma"/>
          <w:lang w:val="es-MX"/>
        </w:rPr>
        <w:t>en ese sentido</w:t>
      </w:r>
      <w:r w:rsidRPr="00EF10FB">
        <w:rPr>
          <w:rFonts w:ascii="Palatino Linotype" w:hAnsi="Palatino Linotype" w:cs="Tahoma"/>
          <w:lang w:val="es-MX"/>
        </w:rPr>
        <w:t xml:space="preserve">, serán aceptadas solicitudes anónimas, con nombre incompleto o seudónimo. </w:t>
      </w:r>
    </w:p>
    <w:p w:rsidR="004E7E73" w:rsidRPr="00EF10FB" w:rsidRDefault="004E7E73" w:rsidP="00D30C32">
      <w:pPr>
        <w:spacing w:after="0" w:line="360" w:lineRule="auto"/>
        <w:jc w:val="both"/>
        <w:rPr>
          <w:rFonts w:ascii="Palatino Linotype" w:hAnsi="Palatino Linotype" w:cs="Tahoma"/>
          <w:lang w:val="es-MX"/>
        </w:rPr>
      </w:pPr>
    </w:p>
    <w:p w:rsidR="00C04AB8" w:rsidRPr="00EF10FB" w:rsidRDefault="004E7E73" w:rsidP="00D30C32">
      <w:pPr>
        <w:spacing w:after="0" w:line="360" w:lineRule="auto"/>
        <w:jc w:val="both"/>
        <w:rPr>
          <w:rFonts w:ascii="Palatino Linotype" w:hAnsi="Palatino Linotype" w:cs="Tahoma"/>
          <w:lang w:val="es-MX"/>
        </w:rPr>
      </w:pPr>
      <w:r w:rsidRPr="00EF10FB">
        <w:rPr>
          <w:rFonts w:ascii="Palatino Linotype" w:hAnsi="Palatino Linotype" w:cs="Tahoma"/>
          <w:lang w:val="es-MX"/>
        </w:rPr>
        <w:t xml:space="preserve">Así, de una interpretación armónica de las disposiciones en materia de derecho de acceso a la información, se puede concluir que la acreditación del solicitante, entendida esta como la demostración de que una persona es quien dice ser a través de medios oficiales de identificación, no puede exigirse en el ejercicio del derecho y al no poder exigirse, este Instituto tampoco puede basarse en el nombre proporcionado por una persona para determinar que existe identidad de partes. En consecuencia, no se actualiza el primer supuesto para que opere la cosa juzgada, con ello </w:t>
      </w:r>
      <w:r w:rsidRPr="00EF10FB">
        <w:rPr>
          <w:rFonts w:ascii="Palatino Linotype" w:hAnsi="Palatino Linotype" w:cs="Tahoma"/>
          <w:b/>
          <w:lang w:val="es-MX"/>
        </w:rPr>
        <w:t>dicha institución resulta inaplicable para el ejercicio del de</w:t>
      </w:r>
      <w:r w:rsidR="00F80D93" w:rsidRPr="00EF10FB">
        <w:rPr>
          <w:rFonts w:ascii="Palatino Linotype" w:hAnsi="Palatino Linotype" w:cs="Tahoma"/>
          <w:b/>
          <w:lang w:val="es-MX"/>
        </w:rPr>
        <w:t>recho de acceso a la información</w:t>
      </w:r>
      <w:r w:rsidR="00CE7F0C" w:rsidRPr="00EF10FB">
        <w:rPr>
          <w:rFonts w:ascii="Palatino Linotype" w:hAnsi="Palatino Linotype" w:cs="Tahoma"/>
          <w:lang w:val="es-MX"/>
        </w:rPr>
        <w:t>.</w:t>
      </w:r>
    </w:p>
    <w:p w:rsidR="00C04AB8" w:rsidRPr="00EF10FB" w:rsidRDefault="00C04AB8" w:rsidP="00D30C32">
      <w:pPr>
        <w:spacing w:after="0" w:line="360" w:lineRule="auto"/>
        <w:jc w:val="both"/>
        <w:rPr>
          <w:rFonts w:ascii="Palatino Linotype" w:hAnsi="Palatino Linotype" w:cs="Tahoma"/>
          <w:lang w:val="es-MX"/>
        </w:rPr>
      </w:pPr>
    </w:p>
    <w:p w:rsidR="004E7E73" w:rsidRPr="00EF10FB" w:rsidRDefault="00C04AB8" w:rsidP="00D30C32">
      <w:pPr>
        <w:spacing w:after="0" w:line="360" w:lineRule="auto"/>
        <w:jc w:val="both"/>
        <w:rPr>
          <w:rFonts w:ascii="Palatino Linotype" w:hAnsi="Palatino Linotype" w:cs="Tahoma"/>
          <w:lang w:val="es-MX"/>
        </w:rPr>
      </w:pPr>
      <w:r w:rsidRPr="00EF10FB">
        <w:rPr>
          <w:rFonts w:ascii="Palatino Linotype" w:hAnsi="Palatino Linotype" w:cs="Tahoma"/>
          <w:lang w:val="es-MX"/>
        </w:rPr>
        <w:t>Por otro lado</w:t>
      </w:r>
      <w:r w:rsidR="004E7E73" w:rsidRPr="00EF10FB">
        <w:rPr>
          <w:rFonts w:ascii="Palatino Linotype" w:hAnsi="Palatino Linotype" w:cs="Tahoma"/>
          <w:lang w:val="es-MX"/>
        </w:rPr>
        <w:t xml:space="preserve">, </w:t>
      </w:r>
      <w:r w:rsidRPr="00EF10FB">
        <w:rPr>
          <w:rFonts w:ascii="Palatino Linotype" w:hAnsi="Palatino Linotype" w:cs="Tahoma"/>
          <w:lang w:val="es-MX"/>
        </w:rPr>
        <w:t xml:space="preserve">es importante decir que </w:t>
      </w:r>
      <w:r w:rsidR="004E7E73" w:rsidRPr="00EF10FB">
        <w:rPr>
          <w:rFonts w:ascii="Palatino Linotype" w:hAnsi="Palatino Linotype" w:cs="Tahoma"/>
          <w:lang w:val="es-MX"/>
        </w:rPr>
        <w:t xml:space="preserve">la intención del legislador nunca fue restringir el derecho de acceso a la información a los particulares, de tal suerte que sólo pudieran presentar una solicitud por tema y en caso de haber agotado su oportunidad se tendría por restringido su derecho a través de una resolución que determinara que la cuestión fue </w:t>
      </w:r>
      <w:r w:rsidR="004E7E73" w:rsidRPr="00EF10FB">
        <w:rPr>
          <w:rFonts w:ascii="Palatino Linotype" w:hAnsi="Palatino Linotype" w:cs="Tahoma"/>
          <w:lang w:val="es-MX"/>
        </w:rPr>
        <w:lastRenderedPageBreak/>
        <w:t>resuelta en definitiva y por tanto opera la cosa juzgada. De ser así, la cosa juzgada se hubiera incluido en el apartado de improcedencia del recurso de revisión.</w:t>
      </w:r>
    </w:p>
    <w:p w:rsidR="004E7E73" w:rsidRPr="00EF10FB" w:rsidRDefault="004E7E73" w:rsidP="00D30C32">
      <w:pPr>
        <w:spacing w:after="0" w:line="360" w:lineRule="auto"/>
        <w:jc w:val="both"/>
        <w:rPr>
          <w:rFonts w:ascii="Palatino Linotype" w:hAnsi="Palatino Linotype" w:cs="Tahoma"/>
          <w:lang w:val="es-MX"/>
        </w:rPr>
      </w:pPr>
    </w:p>
    <w:p w:rsidR="004E7E73" w:rsidRPr="00EF10FB" w:rsidRDefault="00C04AB8" w:rsidP="00D30C32">
      <w:pPr>
        <w:spacing w:after="0" w:line="360" w:lineRule="auto"/>
        <w:jc w:val="both"/>
        <w:rPr>
          <w:rFonts w:ascii="Palatino Linotype" w:hAnsi="Palatino Linotype" w:cs="Tahoma"/>
          <w:lang w:val="es-MX"/>
        </w:rPr>
      </w:pPr>
      <w:r w:rsidRPr="00EF10FB">
        <w:rPr>
          <w:rFonts w:ascii="Palatino Linotype" w:hAnsi="Palatino Linotype" w:cs="Tahoma"/>
          <w:lang w:val="es-MX"/>
        </w:rPr>
        <w:t>Asimismo</w:t>
      </w:r>
      <w:r w:rsidR="004E7E73" w:rsidRPr="00EF10FB">
        <w:rPr>
          <w:rFonts w:ascii="Palatino Linotype" w:hAnsi="Palatino Linotype" w:cs="Tahoma"/>
          <w:lang w:val="es-MX"/>
        </w:rPr>
        <w:t xml:space="preserve">, </w:t>
      </w:r>
      <w:r w:rsidR="00781866" w:rsidRPr="00EF10FB">
        <w:rPr>
          <w:rFonts w:ascii="Palatino Linotype" w:hAnsi="Palatino Linotype" w:cs="Tahoma"/>
          <w:lang w:val="es-MX"/>
        </w:rPr>
        <w:t>en</w:t>
      </w:r>
      <w:r w:rsidR="004E7E73" w:rsidRPr="00EF10FB">
        <w:rPr>
          <w:rFonts w:ascii="Palatino Linotype" w:hAnsi="Palatino Linotype" w:cs="Tahoma"/>
          <w:lang w:val="es-MX"/>
        </w:rPr>
        <w:t xml:space="preserve"> la sentencia de amparo relativa al juicio número 1619/2018, se determinó que la </w:t>
      </w:r>
      <w:r w:rsidR="00781866" w:rsidRPr="00EF10FB">
        <w:rPr>
          <w:rFonts w:ascii="Palatino Linotype" w:hAnsi="Palatino Linotype" w:cs="Tahoma"/>
          <w:lang w:val="es-MX"/>
        </w:rPr>
        <w:t>R</w:t>
      </w:r>
      <w:r w:rsidR="004E7E73" w:rsidRPr="00EF10FB">
        <w:rPr>
          <w:rFonts w:ascii="Palatino Linotype" w:hAnsi="Palatino Linotype" w:cs="Tahoma"/>
          <w:lang w:val="es-MX"/>
        </w:rPr>
        <w:t xml:space="preserve">esolución del </w:t>
      </w:r>
      <w:r w:rsidR="00781866" w:rsidRPr="00EF10FB">
        <w:rPr>
          <w:rFonts w:ascii="Palatino Linotype" w:hAnsi="Palatino Linotype" w:cs="Tahoma"/>
          <w:lang w:val="es-MX"/>
        </w:rPr>
        <w:t>R</w:t>
      </w:r>
      <w:r w:rsidR="004E7E73" w:rsidRPr="00EF10FB">
        <w:rPr>
          <w:rFonts w:ascii="Palatino Linotype" w:hAnsi="Palatino Linotype" w:cs="Tahoma"/>
          <w:lang w:val="es-MX"/>
        </w:rPr>
        <w:t xml:space="preserve">ecurso de </w:t>
      </w:r>
      <w:r w:rsidR="00781866" w:rsidRPr="00EF10FB">
        <w:rPr>
          <w:rFonts w:ascii="Palatino Linotype" w:hAnsi="Palatino Linotype" w:cs="Tahoma"/>
          <w:lang w:val="es-MX"/>
        </w:rPr>
        <w:t>R</w:t>
      </w:r>
      <w:r w:rsidR="004E7E73" w:rsidRPr="00EF10FB">
        <w:rPr>
          <w:rFonts w:ascii="Palatino Linotype" w:hAnsi="Palatino Linotype" w:cs="Tahoma"/>
          <w:lang w:val="es-MX"/>
        </w:rPr>
        <w:t>evisión 02777</w:t>
      </w:r>
      <w:r w:rsidRPr="00EF10FB">
        <w:rPr>
          <w:rFonts w:ascii="Palatino Linotype" w:hAnsi="Palatino Linotype" w:cs="Tahoma"/>
          <w:lang w:val="es-MX"/>
        </w:rPr>
        <w:t>/INFOEM/IP/RR/2018</w:t>
      </w:r>
      <w:r w:rsidR="004E7E73" w:rsidRPr="00EF10FB">
        <w:rPr>
          <w:rFonts w:ascii="Palatino Linotype" w:hAnsi="Palatino Linotype" w:cs="Tahoma"/>
          <w:lang w:val="es-MX"/>
        </w:rPr>
        <w:t>, fue violatoria de las garantías previstas en el artículo 16</w:t>
      </w:r>
      <w:r w:rsidR="00EF10FB" w:rsidRPr="00EF10FB">
        <w:rPr>
          <w:rFonts w:ascii="Palatino Linotype" w:hAnsi="Palatino Linotype" w:cs="Tahoma"/>
          <w:lang w:val="es-MX"/>
        </w:rPr>
        <w:t xml:space="preserve"> de la </w:t>
      </w:r>
      <w:r w:rsidR="004E7E73" w:rsidRPr="00EF10FB">
        <w:rPr>
          <w:rFonts w:ascii="Palatino Linotype" w:hAnsi="Palatino Linotype" w:cs="Tahoma"/>
          <w:lang w:val="es-MX"/>
        </w:rPr>
        <w:t>Constituci</w:t>
      </w:r>
      <w:r w:rsidR="00EF10FB" w:rsidRPr="00EF10FB">
        <w:rPr>
          <w:rFonts w:ascii="Palatino Linotype" w:hAnsi="Palatino Linotype" w:cs="Tahoma"/>
          <w:lang w:val="es-MX"/>
        </w:rPr>
        <w:t>ón Política de los Estados Unidos Mexicanos</w:t>
      </w:r>
      <w:r w:rsidR="004E7E73" w:rsidRPr="00EF10FB">
        <w:rPr>
          <w:rFonts w:ascii="Palatino Linotype" w:hAnsi="Palatino Linotype" w:cs="Tahoma"/>
          <w:lang w:val="es-MX"/>
        </w:rPr>
        <w:t xml:space="preserve">, al tener una indebida fundamentación y motivación, ya que se invocó como fundamento un precepto legal </w:t>
      </w:r>
      <w:r w:rsidR="00F753FF">
        <w:rPr>
          <w:rFonts w:ascii="Palatino Linotype" w:hAnsi="Palatino Linotype" w:cs="Tahoma"/>
          <w:lang w:val="es-MX"/>
        </w:rPr>
        <w:t xml:space="preserve">inaplicable </w:t>
      </w:r>
      <w:r w:rsidR="004E7E73" w:rsidRPr="00EF10FB">
        <w:rPr>
          <w:rFonts w:ascii="Palatino Linotype" w:hAnsi="Palatino Linotype" w:cs="Tahoma"/>
          <w:lang w:val="es-MX"/>
        </w:rPr>
        <w:t>el Código de Procedimientos Administrativos del Estado de M</w:t>
      </w:r>
      <w:r w:rsidR="00F753FF">
        <w:rPr>
          <w:rFonts w:ascii="Palatino Linotype" w:hAnsi="Palatino Linotype" w:cs="Tahoma"/>
          <w:lang w:val="es-MX"/>
        </w:rPr>
        <w:t>éxico que prevé la cosa juzgada</w:t>
      </w:r>
      <w:r w:rsidR="004E7E73" w:rsidRPr="00EF10FB">
        <w:rPr>
          <w:rFonts w:ascii="Palatino Linotype" w:hAnsi="Palatino Linotype" w:cs="Tahoma"/>
          <w:lang w:val="es-MX"/>
        </w:rPr>
        <w:t xml:space="preserve"> como causal de improcedencia, cuando la Ley en materia de transparencia prevé sus propias causales de improcedencia, a las cuales debe limitarse este Instituto.</w:t>
      </w:r>
    </w:p>
    <w:p w:rsidR="004E7E73" w:rsidRPr="00EF10FB" w:rsidRDefault="004E7E73" w:rsidP="00D30C32">
      <w:pPr>
        <w:spacing w:after="0" w:line="360" w:lineRule="auto"/>
        <w:jc w:val="both"/>
        <w:rPr>
          <w:rFonts w:ascii="Palatino Linotype" w:hAnsi="Palatino Linotype" w:cs="Tahoma"/>
          <w:lang w:val="es-MX"/>
        </w:rPr>
      </w:pPr>
    </w:p>
    <w:p w:rsidR="004E7E73" w:rsidRPr="00EF10FB" w:rsidRDefault="004E7E73" w:rsidP="00D30C32">
      <w:pPr>
        <w:spacing w:after="0" w:line="360" w:lineRule="auto"/>
        <w:jc w:val="both"/>
        <w:rPr>
          <w:rFonts w:ascii="Palatino Linotype" w:hAnsi="Palatino Linotype" w:cs="Tahoma"/>
          <w:lang w:val="es-MX"/>
        </w:rPr>
      </w:pPr>
      <w:r w:rsidRPr="00EF10FB">
        <w:rPr>
          <w:rFonts w:ascii="Palatino Linotype" w:hAnsi="Palatino Linotype" w:cs="Tahoma"/>
          <w:lang w:val="es-MX"/>
        </w:rPr>
        <w:t>Por lo tanto, la cosa juzgada no deber ser utilizada en el ejercicio del derecho de acceso a la información, pues sus exigenc</w:t>
      </w:r>
      <w:r w:rsidR="00781866" w:rsidRPr="00EF10FB">
        <w:rPr>
          <w:rFonts w:ascii="Palatino Linotype" w:hAnsi="Palatino Linotype" w:cs="Tahoma"/>
          <w:lang w:val="es-MX"/>
        </w:rPr>
        <w:t>ias no se cumplen en la materia</w:t>
      </w:r>
      <w:r w:rsidRPr="00EF10FB">
        <w:rPr>
          <w:rFonts w:ascii="Palatino Linotype" w:hAnsi="Palatino Linotype" w:cs="Tahoma"/>
          <w:lang w:val="es-MX"/>
        </w:rPr>
        <w:t xml:space="preserve">, </w:t>
      </w:r>
      <w:r w:rsidR="00781866" w:rsidRPr="00EF10FB">
        <w:rPr>
          <w:rFonts w:ascii="Palatino Linotype" w:hAnsi="Palatino Linotype" w:cs="Tahoma"/>
          <w:lang w:val="es-MX"/>
        </w:rPr>
        <w:t>además de que la Ley de Transparencia y Acceso a la Información Pública del Estado de México y Municipios no prevé dicha figura.</w:t>
      </w:r>
    </w:p>
    <w:p w:rsidR="00D05444" w:rsidRPr="00EF10FB" w:rsidRDefault="00D05444" w:rsidP="00D30C32">
      <w:pPr>
        <w:spacing w:after="0" w:line="360" w:lineRule="auto"/>
        <w:jc w:val="both"/>
        <w:rPr>
          <w:rFonts w:ascii="Palatino Linotype" w:hAnsi="Palatino Linotype" w:cs="Tahoma"/>
        </w:rPr>
      </w:pPr>
    </w:p>
    <w:p w:rsidR="00D05444" w:rsidRPr="00EF10FB" w:rsidRDefault="00D05444" w:rsidP="00D30C32">
      <w:pPr>
        <w:spacing w:after="0" w:line="360" w:lineRule="auto"/>
        <w:jc w:val="both"/>
        <w:rPr>
          <w:rFonts w:ascii="Palatino Linotype" w:hAnsi="Palatino Linotype" w:cs="Tahoma"/>
        </w:rPr>
      </w:pPr>
      <w:r w:rsidRPr="00EF10FB">
        <w:rPr>
          <w:rFonts w:ascii="Palatino Linotype" w:hAnsi="Palatino Linotype" w:cs="Tahoma"/>
        </w:rPr>
        <w:t>Así, con base en los razo</w:t>
      </w:r>
      <w:r w:rsidR="00743EE0" w:rsidRPr="00EF10FB">
        <w:rPr>
          <w:rFonts w:ascii="Palatino Linotype" w:hAnsi="Palatino Linotype" w:cs="Tahoma"/>
        </w:rPr>
        <w:t>namientos expuestos, se emite el</w:t>
      </w:r>
      <w:r w:rsidRPr="00EF10FB">
        <w:rPr>
          <w:rFonts w:ascii="Palatino Linotype" w:hAnsi="Palatino Linotype" w:cs="Tahoma"/>
        </w:rPr>
        <w:t xml:space="preserve"> presente </w:t>
      </w:r>
      <w:r w:rsidR="00743EE0" w:rsidRPr="00EF10FB">
        <w:rPr>
          <w:rFonts w:ascii="Palatino Linotype" w:hAnsi="Palatino Linotype" w:cs="Tahoma"/>
        </w:rPr>
        <w:t>voto</w:t>
      </w:r>
      <w:r w:rsidRPr="00EF10FB">
        <w:rPr>
          <w:rFonts w:ascii="Palatino Linotype" w:hAnsi="Palatino Linotype" w:cs="Tahoma"/>
        </w:rPr>
        <w:t xml:space="preserve"> particular.</w:t>
      </w:r>
    </w:p>
    <w:p w:rsidR="00D05444" w:rsidRPr="00EF10FB" w:rsidRDefault="00D05444" w:rsidP="00D30C32">
      <w:pPr>
        <w:spacing w:after="0" w:line="360" w:lineRule="auto"/>
        <w:jc w:val="both"/>
        <w:rPr>
          <w:rFonts w:ascii="Palatino Linotype" w:hAnsi="Palatino Linotype" w:cs="Tahoma"/>
        </w:rPr>
      </w:pPr>
    </w:p>
    <w:p w:rsidR="00042C31" w:rsidRDefault="00F753FF" w:rsidP="00D30C32">
      <w:pPr>
        <w:spacing w:after="0" w:line="360" w:lineRule="auto"/>
        <w:jc w:val="both"/>
        <w:rPr>
          <w:rFonts w:ascii="Palatino Linotype" w:hAnsi="Palatino Linotype" w:cs="Tahoma"/>
          <w:b/>
        </w:rPr>
      </w:pPr>
      <w:r>
        <w:rPr>
          <w:rFonts w:ascii="Palatino Linotype" w:hAnsi="Palatino Linotype" w:cs="Tahoma"/>
          <w:b/>
        </w:rPr>
        <w:t>(Rúbrica)</w:t>
      </w:r>
    </w:p>
    <w:p w:rsidR="00D05444" w:rsidRPr="00EF10FB" w:rsidRDefault="00D05444" w:rsidP="00D30C32">
      <w:pPr>
        <w:spacing w:after="0" w:line="360" w:lineRule="auto"/>
        <w:jc w:val="both"/>
        <w:rPr>
          <w:rFonts w:ascii="Palatino Linotype" w:hAnsi="Palatino Linotype" w:cs="Tahoma"/>
          <w:b/>
        </w:rPr>
      </w:pPr>
      <w:r w:rsidRPr="00EF10FB">
        <w:rPr>
          <w:rFonts w:ascii="Palatino Linotype" w:hAnsi="Palatino Linotype" w:cs="Tahoma"/>
          <w:b/>
        </w:rPr>
        <w:t>Luis Gustavo Parra Noriega</w:t>
      </w:r>
    </w:p>
    <w:p w:rsidR="00D05444" w:rsidRPr="00EF10FB" w:rsidRDefault="00D05444" w:rsidP="00D30C32">
      <w:pPr>
        <w:spacing w:after="0" w:line="360" w:lineRule="auto"/>
        <w:jc w:val="both"/>
        <w:rPr>
          <w:rFonts w:ascii="Palatino Linotype" w:hAnsi="Palatino Linotype" w:cs="Tahoma"/>
          <w:b/>
        </w:rPr>
      </w:pPr>
      <w:r w:rsidRPr="00EF10FB">
        <w:rPr>
          <w:rFonts w:ascii="Palatino Linotype" w:hAnsi="Palatino Linotype" w:cs="Tahoma"/>
          <w:b/>
        </w:rPr>
        <w:t>Comisionado</w:t>
      </w:r>
    </w:p>
    <w:p w:rsidR="005F3F63" w:rsidRPr="00EF10FB" w:rsidRDefault="005F3F63" w:rsidP="00D30C32">
      <w:pPr>
        <w:spacing w:after="0" w:line="360" w:lineRule="auto"/>
        <w:jc w:val="both"/>
        <w:rPr>
          <w:rFonts w:ascii="Palatino Linotype" w:hAnsi="Palatino Linotype" w:cs="Tahoma"/>
          <w:b/>
        </w:rPr>
      </w:pPr>
    </w:p>
    <w:sectPr w:rsidR="005F3F63" w:rsidRPr="00EF10FB"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B39" w:rsidRDefault="00403B39" w:rsidP="00EE29F6">
      <w:pPr>
        <w:spacing w:after="0" w:line="240" w:lineRule="auto"/>
      </w:pPr>
      <w:r>
        <w:separator/>
      </w:r>
    </w:p>
  </w:endnote>
  <w:endnote w:type="continuationSeparator" w:id="0">
    <w:p w:rsidR="00403B39" w:rsidRDefault="00403B39"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rsidR="00363357" w:rsidRDefault="00363357">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596EE6">
              <w:rPr>
                <w:b/>
                <w:bCs/>
                <w:noProof/>
              </w:rPr>
              <w:t>2</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96EE6">
              <w:rPr>
                <w:b/>
                <w:bCs/>
                <w:noProof/>
              </w:rPr>
              <w:t>4</w:t>
            </w:r>
            <w:r>
              <w:rPr>
                <w:b/>
                <w:bCs/>
                <w:sz w:val="24"/>
                <w:szCs w:val="24"/>
              </w:rPr>
              <w:fldChar w:fldCharType="end"/>
            </w:r>
          </w:p>
        </w:sdtContent>
      </w:sdt>
    </w:sdtContent>
  </w:sdt>
  <w:p w:rsidR="00363357" w:rsidRDefault="0036335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B39" w:rsidRDefault="00403B39" w:rsidP="00EE29F6">
      <w:pPr>
        <w:spacing w:after="0" w:line="240" w:lineRule="auto"/>
      </w:pPr>
      <w:r>
        <w:separator/>
      </w:r>
    </w:p>
  </w:footnote>
  <w:footnote w:type="continuationSeparator" w:id="0">
    <w:p w:rsidR="00403B39" w:rsidRDefault="00403B39"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5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386"/>
    </w:tblGrid>
    <w:tr w:rsidR="00363357" w:rsidRPr="001106EA" w:rsidTr="002D539A">
      <w:trPr>
        <w:trHeight w:val="1843"/>
      </w:trPr>
      <w:tc>
        <w:tcPr>
          <w:tcW w:w="3119" w:type="dxa"/>
          <w:vAlign w:val="bottom"/>
        </w:tcPr>
        <w:p w:rsidR="00363357" w:rsidRDefault="00363357" w:rsidP="0077694E">
          <w:pPr>
            <w:pStyle w:val="Encabezado"/>
            <w:tabs>
              <w:tab w:val="clear" w:pos="4252"/>
              <w:tab w:val="center" w:pos="2614"/>
            </w:tabs>
            <w:ind w:left="-255"/>
          </w:pPr>
          <w:r>
            <w:rPr>
              <w:noProof/>
              <w:sz w:val="10"/>
              <w:szCs w:val="10"/>
              <w:lang w:val="es-MX" w:eastAsia="es-MX"/>
            </w:rPr>
            <w:drawing>
              <wp:inline distT="0" distB="0" distL="0" distR="0">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0616" cy="1160801"/>
                        </a:xfrm>
                        <a:prstGeom prst="rect">
                          <a:avLst/>
                        </a:prstGeom>
                      </pic:spPr>
                    </pic:pic>
                  </a:graphicData>
                </a:graphic>
              </wp:inline>
            </w:drawing>
          </w:r>
        </w:p>
        <w:p w:rsidR="00363357" w:rsidRDefault="00363357" w:rsidP="0077694E">
          <w:pPr>
            <w:pStyle w:val="Encabezado"/>
            <w:tabs>
              <w:tab w:val="clear" w:pos="4252"/>
              <w:tab w:val="center" w:pos="2614"/>
            </w:tabs>
          </w:pPr>
        </w:p>
      </w:tc>
      <w:tc>
        <w:tcPr>
          <w:tcW w:w="5386" w:type="dxa"/>
          <w:vAlign w:val="center"/>
        </w:tcPr>
        <w:p w:rsidR="00363357" w:rsidRPr="00085241" w:rsidRDefault="00363357" w:rsidP="00D05444">
          <w:pPr>
            <w:pStyle w:val="Encabezado"/>
            <w:jc w:val="both"/>
            <w:rPr>
              <w:rFonts w:ascii="Palatino Linotype" w:hAnsi="Palatino Linotype" w:cs="Tahoma"/>
              <w:b/>
            </w:rPr>
          </w:pPr>
          <w:r w:rsidRPr="00085241">
            <w:rPr>
              <w:rFonts w:ascii="Palatino Linotype" w:hAnsi="Palatino Linotype" w:cs="Tahoma"/>
              <w:b/>
            </w:rPr>
            <w:t xml:space="preserve">Voto </w:t>
          </w:r>
          <w:r w:rsidR="002D539A">
            <w:rPr>
              <w:rFonts w:ascii="Palatino Linotype" w:hAnsi="Palatino Linotype" w:cs="Tahoma"/>
              <w:b/>
            </w:rPr>
            <w:t>Disidente</w:t>
          </w:r>
        </w:p>
        <w:p w:rsidR="00104333" w:rsidRPr="00085241" w:rsidRDefault="00743EE0" w:rsidP="00D05444">
          <w:pPr>
            <w:pStyle w:val="Encabezado"/>
            <w:jc w:val="both"/>
            <w:rPr>
              <w:rFonts w:ascii="Palatino Linotype" w:hAnsi="Palatino Linotype" w:cs="Tahoma"/>
              <w:b/>
            </w:rPr>
          </w:pPr>
          <w:r>
            <w:rPr>
              <w:rFonts w:ascii="Palatino Linotype" w:hAnsi="Palatino Linotype" w:cs="Tahoma"/>
              <w:b/>
            </w:rPr>
            <w:t>Recurso de Revisión:</w:t>
          </w:r>
          <w:r w:rsidR="00F17C34">
            <w:rPr>
              <w:rFonts w:ascii="Palatino Linotype" w:hAnsi="Palatino Linotype" w:cs="Tahoma"/>
              <w:b/>
            </w:rPr>
            <w:t xml:space="preserve"> </w:t>
          </w:r>
          <w:r w:rsidR="003D0982">
            <w:rPr>
              <w:rFonts w:ascii="Palatino Linotype" w:hAnsi="Palatino Linotype" w:cs="Tahoma"/>
              <w:b/>
            </w:rPr>
            <w:t>02152</w:t>
          </w:r>
          <w:r w:rsidR="00363357" w:rsidRPr="00085241">
            <w:rPr>
              <w:rFonts w:ascii="Palatino Linotype" w:hAnsi="Palatino Linotype" w:cs="Tahoma"/>
              <w:b/>
            </w:rPr>
            <w:t>/INFOEM/IP/RR/201</w:t>
          </w:r>
          <w:r w:rsidR="009A1596">
            <w:rPr>
              <w:rFonts w:ascii="Palatino Linotype" w:hAnsi="Palatino Linotype" w:cs="Tahoma"/>
              <w:b/>
            </w:rPr>
            <w:t>9</w:t>
          </w:r>
        </w:p>
        <w:p w:rsidR="002D539A" w:rsidRDefault="00DF2784" w:rsidP="002D539A">
          <w:pPr>
            <w:pStyle w:val="Encabezado"/>
            <w:jc w:val="both"/>
            <w:rPr>
              <w:rFonts w:ascii="Palatino Linotype" w:hAnsi="Palatino Linotype" w:cs="Tahoma"/>
              <w:b/>
            </w:rPr>
          </w:pPr>
          <w:r w:rsidRPr="00085241">
            <w:rPr>
              <w:rFonts w:ascii="Palatino Linotype" w:hAnsi="Palatino Linotype" w:cs="Tahoma"/>
              <w:b/>
            </w:rPr>
            <w:t xml:space="preserve">Sujeto Obligado: </w:t>
          </w:r>
          <w:r w:rsidR="003D0982">
            <w:rPr>
              <w:rFonts w:ascii="Palatino Linotype" w:hAnsi="Palatino Linotype" w:cs="Tahoma"/>
              <w:b/>
              <w:lang w:val="es-ES_tradnl"/>
            </w:rPr>
            <w:t>Ayuntamiento de Chalco</w:t>
          </w:r>
          <w:r w:rsidR="002B0502" w:rsidRPr="002B0502">
            <w:rPr>
              <w:rFonts w:ascii="Palatino Linotype" w:hAnsi="Palatino Linotype" w:cs="Tahoma"/>
              <w:b/>
            </w:rPr>
            <w:t xml:space="preserve"> </w:t>
          </w:r>
        </w:p>
        <w:p w:rsidR="00363357" w:rsidRPr="001106EA" w:rsidRDefault="00743EE0" w:rsidP="002D539A">
          <w:pPr>
            <w:pStyle w:val="Encabezado"/>
            <w:jc w:val="both"/>
            <w:rPr>
              <w:rFonts w:ascii="Tahoma" w:hAnsi="Tahoma" w:cs="Tahoma"/>
            </w:rPr>
          </w:pPr>
          <w:r>
            <w:rPr>
              <w:rFonts w:ascii="Palatino Linotype" w:hAnsi="Palatino Linotype" w:cs="Tahoma"/>
              <w:b/>
            </w:rPr>
            <w:t>Comisionad</w:t>
          </w:r>
          <w:r w:rsidR="00BF527A">
            <w:rPr>
              <w:rFonts w:ascii="Palatino Linotype" w:hAnsi="Palatino Linotype" w:cs="Tahoma"/>
              <w:b/>
            </w:rPr>
            <w:t>a</w:t>
          </w:r>
          <w:r w:rsidR="00363357" w:rsidRPr="00085241">
            <w:rPr>
              <w:rFonts w:ascii="Palatino Linotype" w:hAnsi="Palatino Linotype" w:cs="Tahoma"/>
              <w:b/>
            </w:rPr>
            <w:t xml:space="preserve"> Ponente: </w:t>
          </w:r>
          <w:r w:rsidR="002B0502">
            <w:rPr>
              <w:rFonts w:ascii="Palatino Linotype" w:hAnsi="Palatino Linotype" w:cs="Tahoma"/>
              <w:b/>
            </w:rPr>
            <w:t>Eva Abaid Yapur</w:t>
          </w:r>
        </w:p>
      </w:tc>
    </w:tr>
  </w:tbl>
  <w:p w:rsidR="00363357" w:rsidRPr="001106EA" w:rsidRDefault="00363357">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51223F"/>
    <w:multiLevelType w:val="hybridMultilevel"/>
    <w:tmpl w:val="E6D4FD94"/>
    <w:lvl w:ilvl="0" w:tplc="0D2CC0C6">
      <w:start w:val="6"/>
      <w:numFmt w:val="decimal"/>
      <w:lvlText w:val="%1."/>
      <w:lvlJc w:val="left"/>
      <w:pPr>
        <w:ind w:left="720" w:hanging="360"/>
      </w:pPr>
      <w:rPr>
        <w:rFonts w:hint="default"/>
        <w:b/>
        <w:i w:val="0"/>
        <w:color w:val="000000" w:themeColor="text1"/>
        <w:sz w:val="24"/>
      </w:rPr>
    </w:lvl>
    <w:lvl w:ilvl="1" w:tplc="080A0009">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8B76DE"/>
    <w:multiLevelType w:val="hybridMultilevel"/>
    <w:tmpl w:val="67F0C59E"/>
    <w:lvl w:ilvl="0" w:tplc="D5A23478">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60D20E6"/>
    <w:multiLevelType w:val="hybridMultilevel"/>
    <w:tmpl w:val="C38A3C5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C8135DD"/>
    <w:multiLevelType w:val="hybridMultilevel"/>
    <w:tmpl w:val="5CBE3C10"/>
    <w:lvl w:ilvl="0" w:tplc="B28052C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5"/>
  </w:num>
  <w:num w:numId="4">
    <w:abstractNumId w:val="0"/>
  </w:num>
  <w:num w:numId="5">
    <w:abstractNumId w:val="12"/>
  </w:num>
  <w:num w:numId="6">
    <w:abstractNumId w:val="3"/>
  </w:num>
  <w:num w:numId="7">
    <w:abstractNumId w:val="9"/>
  </w:num>
  <w:num w:numId="8">
    <w:abstractNumId w:val="16"/>
  </w:num>
  <w:num w:numId="9">
    <w:abstractNumId w:val="13"/>
  </w:num>
  <w:num w:numId="10">
    <w:abstractNumId w:val="14"/>
  </w:num>
  <w:num w:numId="11">
    <w:abstractNumId w:val="15"/>
  </w:num>
  <w:num w:numId="12">
    <w:abstractNumId w:val="1"/>
  </w:num>
  <w:num w:numId="13">
    <w:abstractNumId w:val="8"/>
  </w:num>
  <w:num w:numId="14">
    <w:abstractNumId w:val="17"/>
  </w:num>
  <w:num w:numId="15">
    <w:abstractNumId w:val="6"/>
  </w:num>
  <w:num w:numId="16">
    <w:abstractNumId w:val="7"/>
  </w:num>
  <w:num w:numId="17">
    <w:abstractNumId w:val="1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4F11"/>
    <w:rsid w:val="00006F73"/>
    <w:rsid w:val="0001600D"/>
    <w:rsid w:val="00020D08"/>
    <w:rsid w:val="00021F98"/>
    <w:rsid w:val="00023B3D"/>
    <w:rsid w:val="0002483E"/>
    <w:rsid w:val="000253E5"/>
    <w:rsid w:val="0002627D"/>
    <w:rsid w:val="0002759D"/>
    <w:rsid w:val="000301C6"/>
    <w:rsid w:val="00042397"/>
    <w:rsid w:val="00042C31"/>
    <w:rsid w:val="000466A3"/>
    <w:rsid w:val="000549B5"/>
    <w:rsid w:val="00056BD3"/>
    <w:rsid w:val="00060F74"/>
    <w:rsid w:val="0006561A"/>
    <w:rsid w:val="00085241"/>
    <w:rsid w:val="0008691F"/>
    <w:rsid w:val="00087AC8"/>
    <w:rsid w:val="0009277A"/>
    <w:rsid w:val="00097988"/>
    <w:rsid w:val="00097A79"/>
    <w:rsid w:val="000B235B"/>
    <w:rsid w:val="000B61DD"/>
    <w:rsid w:val="000B7F6F"/>
    <w:rsid w:val="000C10B7"/>
    <w:rsid w:val="000C6052"/>
    <w:rsid w:val="000D186F"/>
    <w:rsid w:val="000E64B7"/>
    <w:rsid w:val="000F1CD2"/>
    <w:rsid w:val="00104333"/>
    <w:rsid w:val="0010688C"/>
    <w:rsid w:val="001106EA"/>
    <w:rsid w:val="001159DC"/>
    <w:rsid w:val="00116E1A"/>
    <w:rsid w:val="00135847"/>
    <w:rsid w:val="00136AD8"/>
    <w:rsid w:val="0014038B"/>
    <w:rsid w:val="00140A57"/>
    <w:rsid w:val="0014736A"/>
    <w:rsid w:val="001536F8"/>
    <w:rsid w:val="00161815"/>
    <w:rsid w:val="00162325"/>
    <w:rsid w:val="00164625"/>
    <w:rsid w:val="00164BFE"/>
    <w:rsid w:val="0018472D"/>
    <w:rsid w:val="00193AA8"/>
    <w:rsid w:val="00197A72"/>
    <w:rsid w:val="001A145C"/>
    <w:rsid w:val="001A6BD9"/>
    <w:rsid w:val="001C1C64"/>
    <w:rsid w:val="001C363A"/>
    <w:rsid w:val="001C7C6D"/>
    <w:rsid w:val="0020052A"/>
    <w:rsid w:val="00220D45"/>
    <w:rsid w:val="00231B68"/>
    <w:rsid w:val="00243A13"/>
    <w:rsid w:val="00246FAF"/>
    <w:rsid w:val="00273B3C"/>
    <w:rsid w:val="0028037C"/>
    <w:rsid w:val="002816CB"/>
    <w:rsid w:val="00295BA5"/>
    <w:rsid w:val="002A138B"/>
    <w:rsid w:val="002A1727"/>
    <w:rsid w:val="002A2EE7"/>
    <w:rsid w:val="002B0502"/>
    <w:rsid w:val="002B0E4A"/>
    <w:rsid w:val="002B2877"/>
    <w:rsid w:val="002C2405"/>
    <w:rsid w:val="002C7EBD"/>
    <w:rsid w:val="002D539A"/>
    <w:rsid w:val="002E4A9A"/>
    <w:rsid w:val="002E5A1A"/>
    <w:rsid w:val="00333B7A"/>
    <w:rsid w:val="00344DD1"/>
    <w:rsid w:val="003512C9"/>
    <w:rsid w:val="00361360"/>
    <w:rsid w:val="00363357"/>
    <w:rsid w:val="00390188"/>
    <w:rsid w:val="003973A2"/>
    <w:rsid w:val="003A33E2"/>
    <w:rsid w:val="003A6218"/>
    <w:rsid w:val="003B5F3A"/>
    <w:rsid w:val="003B6547"/>
    <w:rsid w:val="003B7A5E"/>
    <w:rsid w:val="003C374F"/>
    <w:rsid w:val="003C4BD1"/>
    <w:rsid w:val="003D0982"/>
    <w:rsid w:val="003F2426"/>
    <w:rsid w:val="003F48C2"/>
    <w:rsid w:val="003F7CBE"/>
    <w:rsid w:val="0040139C"/>
    <w:rsid w:val="00403B39"/>
    <w:rsid w:val="00412CB2"/>
    <w:rsid w:val="004211BB"/>
    <w:rsid w:val="00433746"/>
    <w:rsid w:val="00434B91"/>
    <w:rsid w:val="00434C88"/>
    <w:rsid w:val="00435E69"/>
    <w:rsid w:val="0044391A"/>
    <w:rsid w:val="004452E2"/>
    <w:rsid w:val="00445BDF"/>
    <w:rsid w:val="00447F6F"/>
    <w:rsid w:val="00450B68"/>
    <w:rsid w:val="0045695E"/>
    <w:rsid w:val="00467ACB"/>
    <w:rsid w:val="00485822"/>
    <w:rsid w:val="00490F50"/>
    <w:rsid w:val="004A4555"/>
    <w:rsid w:val="004A555E"/>
    <w:rsid w:val="004B08C4"/>
    <w:rsid w:val="004B541F"/>
    <w:rsid w:val="004B674B"/>
    <w:rsid w:val="004C4912"/>
    <w:rsid w:val="004C6E57"/>
    <w:rsid w:val="004D2ED4"/>
    <w:rsid w:val="004E4CA3"/>
    <w:rsid w:val="004E7007"/>
    <w:rsid w:val="004E7E73"/>
    <w:rsid w:val="004F0B86"/>
    <w:rsid w:val="00511E06"/>
    <w:rsid w:val="0052260F"/>
    <w:rsid w:val="00524DA5"/>
    <w:rsid w:val="00526DBD"/>
    <w:rsid w:val="00543DF4"/>
    <w:rsid w:val="00544812"/>
    <w:rsid w:val="00550AA5"/>
    <w:rsid w:val="00553ADE"/>
    <w:rsid w:val="0056120D"/>
    <w:rsid w:val="0056175F"/>
    <w:rsid w:val="0056524C"/>
    <w:rsid w:val="00577080"/>
    <w:rsid w:val="00582CCB"/>
    <w:rsid w:val="00584D73"/>
    <w:rsid w:val="0059329D"/>
    <w:rsid w:val="00596EE6"/>
    <w:rsid w:val="005A2510"/>
    <w:rsid w:val="005A6E4D"/>
    <w:rsid w:val="005C094E"/>
    <w:rsid w:val="005C73EE"/>
    <w:rsid w:val="005D11C8"/>
    <w:rsid w:val="005E2798"/>
    <w:rsid w:val="005F3F63"/>
    <w:rsid w:val="00600164"/>
    <w:rsid w:val="00600323"/>
    <w:rsid w:val="00605683"/>
    <w:rsid w:val="006248F2"/>
    <w:rsid w:val="00624DE5"/>
    <w:rsid w:val="00627F2B"/>
    <w:rsid w:val="00645087"/>
    <w:rsid w:val="00651B2B"/>
    <w:rsid w:val="00654ACD"/>
    <w:rsid w:val="00657396"/>
    <w:rsid w:val="00682003"/>
    <w:rsid w:val="00684B16"/>
    <w:rsid w:val="00695F12"/>
    <w:rsid w:val="006B16FE"/>
    <w:rsid w:val="006B6D1A"/>
    <w:rsid w:val="006D1775"/>
    <w:rsid w:val="006D3DF1"/>
    <w:rsid w:val="006F5316"/>
    <w:rsid w:val="007071CF"/>
    <w:rsid w:val="00722FE9"/>
    <w:rsid w:val="00724F08"/>
    <w:rsid w:val="0073552A"/>
    <w:rsid w:val="007378E2"/>
    <w:rsid w:val="00742A15"/>
    <w:rsid w:val="00743EE0"/>
    <w:rsid w:val="0077694E"/>
    <w:rsid w:val="00781082"/>
    <w:rsid w:val="00781866"/>
    <w:rsid w:val="007849A1"/>
    <w:rsid w:val="00792848"/>
    <w:rsid w:val="007A1071"/>
    <w:rsid w:val="007A2D13"/>
    <w:rsid w:val="007D3257"/>
    <w:rsid w:val="007D5554"/>
    <w:rsid w:val="007E3F77"/>
    <w:rsid w:val="007F1C1D"/>
    <w:rsid w:val="007F41BF"/>
    <w:rsid w:val="007F7D80"/>
    <w:rsid w:val="00802879"/>
    <w:rsid w:val="0083186E"/>
    <w:rsid w:val="00836BC2"/>
    <w:rsid w:val="00846270"/>
    <w:rsid w:val="00861757"/>
    <w:rsid w:val="008629DC"/>
    <w:rsid w:val="00874170"/>
    <w:rsid w:val="00884A10"/>
    <w:rsid w:val="00891412"/>
    <w:rsid w:val="008933AC"/>
    <w:rsid w:val="0089469D"/>
    <w:rsid w:val="008A0447"/>
    <w:rsid w:val="008A1DE1"/>
    <w:rsid w:val="008A3DA9"/>
    <w:rsid w:val="008B08C9"/>
    <w:rsid w:val="008E54E2"/>
    <w:rsid w:val="009039FE"/>
    <w:rsid w:val="00922B2E"/>
    <w:rsid w:val="00924A73"/>
    <w:rsid w:val="00926581"/>
    <w:rsid w:val="00927138"/>
    <w:rsid w:val="00927BD1"/>
    <w:rsid w:val="00941847"/>
    <w:rsid w:val="00950355"/>
    <w:rsid w:val="0095470A"/>
    <w:rsid w:val="00954BF1"/>
    <w:rsid w:val="00962B86"/>
    <w:rsid w:val="00965DE9"/>
    <w:rsid w:val="00974836"/>
    <w:rsid w:val="00993790"/>
    <w:rsid w:val="009943E1"/>
    <w:rsid w:val="009A1596"/>
    <w:rsid w:val="009B22ED"/>
    <w:rsid w:val="009B2C0B"/>
    <w:rsid w:val="009C0313"/>
    <w:rsid w:val="009D07E2"/>
    <w:rsid w:val="009D49BE"/>
    <w:rsid w:val="009E0861"/>
    <w:rsid w:val="009E41F7"/>
    <w:rsid w:val="00A0224B"/>
    <w:rsid w:val="00A037C5"/>
    <w:rsid w:val="00A074E7"/>
    <w:rsid w:val="00A13E40"/>
    <w:rsid w:val="00A14343"/>
    <w:rsid w:val="00A22273"/>
    <w:rsid w:val="00A30C52"/>
    <w:rsid w:val="00A364BA"/>
    <w:rsid w:val="00A462CB"/>
    <w:rsid w:val="00A5061A"/>
    <w:rsid w:val="00A54E21"/>
    <w:rsid w:val="00A67498"/>
    <w:rsid w:val="00A742D1"/>
    <w:rsid w:val="00A87924"/>
    <w:rsid w:val="00A96933"/>
    <w:rsid w:val="00A96CE5"/>
    <w:rsid w:val="00AA090B"/>
    <w:rsid w:val="00AA261E"/>
    <w:rsid w:val="00AA38A5"/>
    <w:rsid w:val="00AC333A"/>
    <w:rsid w:val="00AD25D5"/>
    <w:rsid w:val="00AF3B6B"/>
    <w:rsid w:val="00B15570"/>
    <w:rsid w:val="00B2355E"/>
    <w:rsid w:val="00B263C5"/>
    <w:rsid w:val="00B27BBC"/>
    <w:rsid w:val="00B30925"/>
    <w:rsid w:val="00B67355"/>
    <w:rsid w:val="00B71740"/>
    <w:rsid w:val="00B73847"/>
    <w:rsid w:val="00B7393F"/>
    <w:rsid w:val="00B761B1"/>
    <w:rsid w:val="00B80C28"/>
    <w:rsid w:val="00B8633E"/>
    <w:rsid w:val="00BB6EE3"/>
    <w:rsid w:val="00BC4882"/>
    <w:rsid w:val="00BC55D2"/>
    <w:rsid w:val="00BD06FC"/>
    <w:rsid w:val="00BD1839"/>
    <w:rsid w:val="00BD4705"/>
    <w:rsid w:val="00BD5DBE"/>
    <w:rsid w:val="00BE5684"/>
    <w:rsid w:val="00BE678B"/>
    <w:rsid w:val="00BF1AC9"/>
    <w:rsid w:val="00BF527A"/>
    <w:rsid w:val="00C0033F"/>
    <w:rsid w:val="00C0131C"/>
    <w:rsid w:val="00C04AB8"/>
    <w:rsid w:val="00C153EC"/>
    <w:rsid w:val="00C155EE"/>
    <w:rsid w:val="00C30FD6"/>
    <w:rsid w:val="00C31FEE"/>
    <w:rsid w:val="00C37E4F"/>
    <w:rsid w:val="00C55FFC"/>
    <w:rsid w:val="00C75CE0"/>
    <w:rsid w:val="00C920D4"/>
    <w:rsid w:val="00CA7627"/>
    <w:rsid w:val="00CC68E1"/>
    <w:rsid w:val="00CD4339"/>
    <w:rsid w:val="00CD6D0D"/>
    <w:rsid w:val="00CD7611"/>
    <w:rsid w:val="00CE3CDC"/>
    <w:rsid w:val="00CE46B3"/>
    <w:rsid w:val="00CE50F9"/>
    <w:rsid w:val="00CE7F0C"/>
    <w:rsid w:val="00CF11EE"/>
    <w:rsid w:val="00CF1B14"/>
    <w:rsid w:val="00CF432B"/>
    <w:rsid w:val="00D01247"/>
    <w:rsid w:val="00D05444"/>
    <w:rsid w:val="00D05740"/>
    <w:rsid w:val="00D11C52"/>
    <w:rsid w:val="00D13875"/>
    <w:rsid w:val="00D15D07"/>
    <w:rsid w:val="00D160F2"/>
    <w:rsid w:val="00D30C32"/>
    <w:rsid w:val="00D342D7"/>
    <w:rsid w:val="00D357E1"/>
    <w:rsid w:val="00D37CDC"/>
    <w:rsid w:val="00D45BDF"/>
    <w:rsid w:val="00D51426"/>
    <w:rsid w:val="00D51C81"/>
    <w:rsid w:val="00D55429"/>
    <w:rsid w:val="00D6548F"/>
    <w:rsid w:val="00D65D0C"/>
    <w:rsid w:val="00D666D4"/>
    <w:rsid w:val="00D7239D"/>
    <w:rsid w:val="00D75FAE"/>
    <w:rsid w:val="00D76EA4"/>
    <w:rsid w:val="00D77F63"/>
    <w:rsid w:val="00D81CB3"/>
    <w:rsid w:val="00D9114A"/>
    <w:rsid w:val="00D932AD"/>
    <w:rsid w:val="00DA11C0"/>
    <w:rsid w:val="00DE4452"/>
    <w:rsid w:val="00DF2784"/>
    <w:rsid w:val="00DF6CA0"/>
    <w:rsid w:val="00E145E1"/>
    <w:rsid w:val="00E26123"/>
    <w:rsid w:val="00E34559"/>
    <w:rsid w:val="00E41481"/>
    <w:rsid w:val="00E416F8"/>
    <w:rsid w:val="00E656C1"/>
    <w:rsid w:val="00E70B5D"/>
    <w:rsid w:val="00E750E2"/>
    <w:rsid w:val="00E80E84"/>
    <w:rsid w:val="00E82F77"/>
    <w:rsid w:val="00E83683"/>
    <w:rsid w:val="00E910F8"/>
    <w:rsid w:val="00EA7E26"/>
    <w:rsid w:val="00EB7128"/>
    <w:rsid w:val="00EC5F1B"/>
    <w:rsid w:val="00EE29F6"/>
    <w:rsid w:val="00EF10FB"/>
    <w:rsid w:val="00F030F8"/>
    <w:rsid w:val="00F05A41"/>
    <w:rsid w:val="00F14384"/>
    <w:rsid w:val="00F17C34"/>
    <w:rsid w:val="00F318EA"/>
    <w:rsid w:val="00F359F6"/>
    <w:rsid w:val="00F44957"/>
    <w:rsid w:val="00F72D12"/>
    <w:rsid w:val="00F753FF"/>
    <w:rsid w:val="00F80D93"/>
    <w:rsid w:val="00F93684"/>
    <w:rsid w:val="00F95EDA"/>
    <w:rsid w:val="00FB3044"/>
    <w:rsid w:val="00FB59D6"/>
    <w:rsid w:val="00FC16A3"/>
    <w:rsid w:val="00FC1D9D"/>
    <w:rsid w:val="00FC2848"/>
    <w:rsid w:val="00FD1849"/>
    <w:rsid w:val="00FD3150"/>
    <w:rsid w:val="00FD530D"/>
    <w:rsid w:val="00FD683E"/>
    <w:rsid w:val="00FE4A90"/>
    <w:rsid w:val="00FF22F6"/>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7A7E73E-C5B1-46B9-8381-700F8B75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0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39"/>
    <w:rsid w:val="00EE29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basedOn w:val="Normal"/>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basedOn w:val="Fuentedeprrafopredeter"/>
    <w:qFormat/>
    <w:rsid w:val="008933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4CB0B-AA53-48FC-AA39-82CDFC6F8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1031</Words>
  <Characters>5675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8</cp:revision>
  <cp:lastPrinted>2019-07-01T18:48:00Z</cp:lastPrinted>
  <dcterms:created xsi:type="dcterms:W3CDTF">2019-07-01T18:08:00Z</dcterms:created>
  <dcterms:modified xsi:type="dcterms:W3CDTF">2019-07-01T18:50:00Z</dcterms:modified>
</cp:coreProperties>
</file>